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4A" w:rsidRDefault="003667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674A" w:rsidRDefault="0036674A">
      <w:pPr>
        <w:pStyle w:val="ConsPlusNormal"/>
        <w:jc w:val="both"/>
        <w:outlineLvl w:val="0"/>
      </w:pPr>
    </w:p>
    <w:p w:rsidR="0036674A" w:rsidRDefault="0036674A">
      <w:pPr>
        <w:pStyle w:val="ConsPlusTitle"/>
        <w:jc w:val="center"/>
        <w:outlineLvl w:val="0"/>
      </w:pPr>
      <w:r>
        <w:t>АДМИНИСТРАЦИЯ ГОРОДА КРАСНОЯРСКА</w:t>
      </w:r>
    </w:p>
    <w:p w:rsidR="0036674A" w:rsidRDefault="0036674A">
      <w:pPr>
        <w:pStyle w:val="ConsPlusTitle"/>
        <w:jc w:val="center"/>
      </w:pPr>
    </w:p>
    <w:p w:rsidR="0036674A" w:rsidRDefault="0036674A">
      <w:pPr>
        <w:pStyle w:val="ConsPlusTitle"/>
        <w:jc w:val="center"/>
      </w:pPr>
      <w:r>
        <w:t>ПОСТАНОВЛЕНИЕ</w:t>
      </w:r>
    </w:p>
    <w:p w:rsidR="0036674A" w:rsidRDefault="0036674A">
      <w:pPr>
        <w:pStyle w:val="ConsPlusTitle"/>
        <w:jc w:val="center"/>
      </w:pPr>
      <w:r>
        <w:t>от 14 ноября 2022 г. N 992</w:t>
      </w:r>
    </w:p>
    <w:p w:rsidR="0036674A" w:rsidRDefault="0036674A">
      <w:pPr>
        <w:pStyle w:val="ConsPlusTitle"/>
      </w:pPr>
    </w:p>
    <w:p w:rsidR="0036674A" w:rsidRDefault="0036674A">
      <w:pPr>
        <w:pStyle w:val="ConsPlusTitle"/>
        <w:jc w:val="center"/>
      </w:pPr>
      <w:r>
        <w:t>ОБ УТВЕРЖДЕНИИ ПОРЯДКА ПРЕДОСТАВЛЕНИЯ СУБСИДИЙ СОЦИАЛЬНО</w:t>
      </w:r>
    </w:p>
    <w:p w:rsidR="0036674A" w:rsidRDefault="0036674A">
      <w:pPr>
        <w:pStyle w:val="ConsPlusTitle"/>
        <w:jc w:val="center"/>
      </w:pPr>
      <w:r>
        <w:t>ОРИЕНТИРОВАННЫМ НЕКОММЕРЧЕСКИМ ОРГАНИЗАЦИЯМ, НЕ ЯВЛЯЮЩИМСЯ</w:t>
      </w:r>
    </w:p>
    <w:p w:rsidR="0036674A" w:rsidRDefault="0036674A">
      <w:pPr>
        <w:pStyle w:val="ConsPlusTitle"/>
        <w:jc w:val="center"/>
      </w:pPr>
      <w:r>
        <w:t>ГОСУДАРСТВЕННЫМИ (МУНИЦИПАЛЬНЫМИ) УЧРЕЖДЕНИЯМИ, В ЦЕЛЯХ</w:t>
      </w:r>
    </w:p>
    <w:p w:rsidR="0036674A" w:rsidRDefault="0036674A">
      <w:pPr>
        <w:pStyle w:val="ConsPlusTitle"/>
        <w:jc w:val="center"/>
      </w:pPr>
      <w:r>
        <w:t>ФИНАНСОВОГО ОБЕСПЕЧЕНИЯ ЧАСТИ ЗАТРАТ, СВЯЗАННЫХ</w:t>
      </w:r>
    </w:p>
    <w:p w:rsidR="0036674A" w:rsidRDefault="0036674A">
      <w:pPr>
        <w:pStyle w:val="ConsPlusTitle"/>
        <w:jc w:val="center"/>
      </w:pPr>
      <w:r>
        <w:t>С РЕАЛИЗАЦИЕЙ ДЛЯ ЖИТЕЛЕЙ ГОРОДА СОЦИАЛЬНЫХ ПРОЕКТОВ В СФЕРЕ</w:t>
      </w:r>
    </w:p>
    <w:p w:rsidR="0036674A" w:rsidRDefault="0036674A">
      <w:pPr>
        <w:pStyle w:val="ConsPlusTitle"/>
        <w:jc w:val="center"/>
      </w:pPr>
      <w:r>
        <w:t xml:space="preserve">МОЛОДЕЖНОЙ ПОЛИТИКИ ПО НАПРАВЛЕНИЮ "ПОДДЕРЖКА </w:t>
      </w:r>
      <w:proofErr w:type="gramStart"/>
      <w:r>
        <w:t>ЛОКАЛЬНЫХ</w:t>
      </w:r>
      <w:proofErr w:type="gramEnd"/>
    </w:p>
    <w:p w:rsidR="0036674A" w:rsidRDefault="0036674A">
      <w:pPr>
        <w:pStyle w:val="ConsPlusTitle"/>
        <w:jc w:val="center"/>
      </w:pPr>
      <w:r>
        <w:t>ЭКСПЕРИМЕНТАЛЬНЫХ ПЛОЩАДОК"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ст. 78.1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ст. 41</w:t>
        </w:r>
      </w:hyperlink>
      <w:r>
        <w:t xml:space="preserve">, </w:t>
      </w:r>
      <w:hyperlink r:id="rId7">
        <w:r>
          <w:rPr>
            <w:color w:val="0000FF"/>
          </w:rPr>
          <w:t>58</w:t>
        </w:r>
      </w:hyperlink>
      <w:r>
        <w:t xml:space="preserve">, </w:t>
      </w:r>
      <w:hyperlink r:id="rId8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2">
        <w:r>
          <w:rPr>
            <w:color w:val="0000FF"/>
          </w:rPr>
          <w:t>Порядок</w:t>
        </w:r>
      </w:hyperlink>
      <w:r>
        <w:t xml:space="preserve">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 в сфере молодежной политики по направлению "Поддержка локальных экспериментальных площадок", согласно приложению.</w:t>
      </w:r>
      <w:proofErr w:type="gramEnd"/>
    </w:p>
    <w:p w:rsidR="0036674A" w:rsidRDefault="0036674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от 28.06.2012 N 283 "О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 в сфере молодежной политики";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от 22.02.2013 N 90 "О внесении изменений в Постановления администрации города от 14.10.2011 N 446, от 14.10.2011 N 447,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от 12.07.2013 N 331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от 08.05.2014 N 253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от 03.04.2015 N 183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от 24.06.2016 N 350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от 13.03.2017 N 146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от 30.10.2017 N 702 "О внесении изменения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от 26.04.2018 N 282 "О внесении изменений в </w:t>
      </w:r>
      <w:r>
        <w:lastRenderedPageBreak/>
        <w:t>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3</w:t>
        </w:r>
      </w:hyperlink>
      <w:r>
        <w:t xml:space="preserve"> Постановления администрации города от 27.02.2019 N 114 "О внесении изменений в правовые акты города";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от 30.09.2019 N 709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от 10.02.2020 N 76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1</w:t>
        </w:r>
      </w:hyperlink>
      <w:r>
        <w:t xml:space="preserve"> Постановления администрации города от 18.03.2020 N 174 "О внесении изменений в правовые акты города";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от 31.03.2020 N 219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от 07.09.2020 N 680 "О внесении изменения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от 05.10.2020 N 776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от 07.12.2020 N 982 "О внесении изменений в правовые акты города";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от 31.03.2021 N 194 "О внесении изменений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от 15.11.2021 N 908 "О внесении изменения в Постановление администрации города от 28.06.2012 N 283";</w:t>
      </w:r>
    </w:p>
    <w:p w:rsidR="0036674A" w:rsidRDefault="0036674A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от 31.05.2022 N 452 "О внесении изменений в Постановление администрации города от 28.06.2012 N 283".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3. Постановление опубликовать в газете "Городские новости" и разместить на официальном сайте администрации города.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4. Постановление вступает в силу с 01.01.2023.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right"/>
      </w:pPr>
      <w:r>
        <w:t>Глава города</w:t>
      </w:r>
    </w:p>
    <w:p w:rsidR="0036674A" w:rsidRDefault="0036674A">
      <w:pPr>
        <w:pStyle w:val="ConsPlusNormal"/>
        <w:jc w:val="right"/>
      </w:pPr>
      <w:r>
        <w:t>В.А.ЛОГИНОВ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right"/>
        <w:outlineLvl w:val="0"/>
      </w:pPr>
      <w:r>
        <w:t>Приложение</w:t>
      </w:r>
    </w:p>
    <w:p w:rsidR="0036674A" w:rsidRDefault="0036674A">
      <w:pPr>
        <w:pStyle w:val="ConsPlusNormal"/>
        <w:jc w:val="right"/>
      </w:pPr>
      <w:r>
        <w:t>к Постановлению</w:t>
      </w:r>
    </w:p>
    <w:p w:rsidR="0036674A" w:rsidRDefault="0036674A">
      <w:pPr>
        <w:pStyle w:val="ConsPlusNormal"/>
        <w:jc w:val="right"/>
      </w:pPr>
      <w:r>
        <w:t>администрации города</w:t>
      </w:r>
    </w:p>
    <w:p w:rsidR="0036674A" w:rsidRDefault="0036674A">
      <w:pPr>
        <w:pStyle w:val="ConsPlusNormal"/>
        <w:jc w:val="right"/>
      </w:pPr>
      <w:r>
        <w:t>от 14 ноября 2022 г. N 992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Title"/>
        <w:jc w:val="center"/>
      </w:pPr>
      <w:bookmarkStart w:id="0" w:name="P52"/>
      <w:bookmarkEnd w:id="0"/>
      <w:r>
        <w:t>ПОРЯДОК</w:t>
      </w:r>
    </w:p>
    <w:p w:rsidR="0036674A" w:rsidRDefault="0036674A">
      <w:pPr>
        <w:pStyle w:val="ConsPlusTitle"/>
        <w:jc w:val="center"/>
      </w:pPr>
      <w:r>
        <w:t xml:space="preserve">ПРЕДОСТАВЛЕНИЯ СУБСИДИЙ СОЦИАЛЬНО </w:t>
      </w:r>
      <w:proofErr w:type="gramStart"/>
      <w:r>
        <w:t>ОРИЕНТИРОВАННЫМ</w:t>
      </w:r>
      <w:proofErr w:type="gramEnd"/>
    </w:p>
    <w:p w:rsidR="0036674A" w:rsidRDefault="0036674A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36674A" w:rsidRDefault="0036674A">
      <w:pPr>
        <w:pStyle w:val="ConsPlusTitle"/>
        <w:jc w:val="center"/>
      </w:pPr>
      <w:r>
        <w:t xml:space="preserve">(МУНИЦИПАЛЬНЫМИ) УЧРЕЖДЕНИЯМИ, В ЦЕЛЯХ </w:t>
      </w:r>
      <w:proofErr w:type="gramStart"/>
      <w:r>
        <w:t>ФИНАНСОВОГО</w:t>
      </w:r>
      <w:proofErr w:type="gramEnd"/>
    </w:p>
    <w:p w:rsidR="0036674A" w:rsidRDefault="0036674A">
      <w:pPr>
        <w:pStyle w:val="ConsPlusTitle"/>
        <w:jc w:val="center"/>
      </w:pPr>
      <w:r>
        <w:lastRenderedPageBreak/>
        <w:t>ОБЕСПЕЧЕНИЯ ЧАСТИ ЗАТРАТ, СВЯЗАННЫХ С РЕАЛИЗАЦИЕЙ</w:t>
      </w:r>
    </w:p>
    <w:p w:rsidR="0036674A" w:rsidRDefault="0036674A">
      <w:pPr>
        <w:pStyle w:val="ConsPlusTitle"/>
        <w:jc w:val="center"/>
      </w:pPr>
      <w:r>
        <w:t>ДЛЯ ЖИТЕЛЕЙ ГОРОДА СОЦИАЛЬНЫХ ПРОЕКТОВ В СФЕРЕ МОЛОДЕЖНОЙ</w:t>
      </w:r>
    </w:p>
    <w:p w:rsidR="0036674A" w:rsidRDefault="0036674A">
      <w:pPr>
        <w:pStyle w:val="ConsPlusTitle"/>
        <w:jc w:val="center"/>
      </w:pPr>
      <w:r>
        <w:t xml:space="preserve">ПОЛИТИКИ ПО НАПРАВЛЕНИЮ "ПОДДЕРЖКА </w:t>
      </w:r>
      <w:proofErr w:type="gramStart"/>
      <w:r>
        <w:t>ЛОКАЛЬНЫХ</w:t>
      </w:r>
      <w:proofErr w:type="gramEnd"/>
    </w:p>
    <w:p w:rsidR="0036674A" w:rsidRDefault="0036674A">
      <w:pPr>
        <w:pStyle w:val="ConsPlusTitle"/>
        <w:jc w:val="center"/>
      </w:pPr>
      <w:r>
        <w:t>ЭКСПЕРИМЕНТАЛЬНЫХ ПЛОЩАДОК"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Title"/>
        <w:jc w:val="center"/>
        <w:outlineLvl w:val="1"/>
      </w:pPr>
      <w:r>
        <w:t>I. ОБЩИЕ ПОЛОЖЕНИЯ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социально ориентированная некоммерческая организация), в целях финансового обеспечения части затрат, связанных с реализацией для жителей города социальных проектов в сфере молодежной политики по направлению "Поддержка локальных экспериментальных площадок" (далее - Порядок), определяет общие положения о предоставлении субсидии, условия и порядок предоставления субсидии, требования к отчетности, требования об осуществлении</w:t>
      </w:r>
      <w:proofErr w:type="gramEnd"/>
      <w:r>
        <w:t xml:space="preserve"> контроля (мониторинга) за соблюдением условий и порядка предоставления субсидии и ответственности за их нарушение.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понятия: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Конкурс - порядок определения получателя субсидии в целях финансового обеспечения части затрат, связанных с реализацией для жителей города социальных проектов в сфере молодежной политики по направлению "Поддержка локальных экспериментальных площадок";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субсидия - средства бюджета города, предоставляемые получателям субсидии на реализацию социального проекта в сфере молодежной политики для жителей города Красноярска;</w:t>
      </w:r>
    </w:p>
    <w:p w:rsidR="0036674A" w:rsidRDefault="0036674A">
      <w:pPr>
        <w:pStyle w:val="ConsPlusNormal"/>
        <w:spacing w:before="220"/>
        <w:ind w:firstLine="540"/>
        <w:jc w:val="both"/>
      </w:pPr>
      <w:proofErr w:type="gramStart"/>
      <w:r>
        <w:t xml:space="preserve">получатель субсидии - социально ориентированная некоммерческая организация, реализующая проект в рамках осуществления их уставной деятельности, соответствующей положениям </w:t>
      </w:r>
      <w:hyperlink r:id="rId29">
        <w:r>
          <w:rPr>
            <w:color w:val="0000FF"/>
          </w:rPr>
          <w:t>статьи 31.1</w:t>
        </w:r>
      </w:hyperlink>
      <w:r>
        <w:t xml:space="preserve"> Федерального закона от 12.01.1996 N 7-ФЗ "О некоммерческих организациях" (далее - Федеральный закон "О некоммерческих организациях"), являющаяся победителем Конкурса и заключившая соглашение о предоставлении средств субсидии (далее - соглашение) с главным управлением молодежной политики и туризма администрации города Красноярска (далее - главное управление);</w:t>
      </w:r>
      <w:proofErr w:type="gramEnd"/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отбор - конкурсная процедура среди заявителей, проводимая оператором способом, установленным </w:t>
      </w:r>
      <w:hyperlink w:anchor="P79">
        <w:r>
          <w:rPr>
            <w:color w:val="0000FF"/>
          </w:rPr>
          <w:t>пунктом 6</w:t>
        </w:r>
      </w:hyperlink>
      <w:r>
        <w:t xml:space="preserve"> Порядка, для определения получателя субсидии;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оператор - учреждение, координируемое главным управлением, ответственное за организацию и проведение Конкурса, которое в соответствии с Порядком проводит отбор;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заявитель - социально ориентированная некоммерческая организация, представившая заявку в соответствии с </w:t>
      </w:r>
      <w:hyperlink w:anchor="P114">
        <w:r>
          <w:rPr>
            <w:color w:val="0000FF"/>
          </w:rPr>
          <w:t>пунктом 13</w:t>
        </w:r>
      </w:hyperlink>
      <w:r>
        <w:t xml:space="preserve"> Порядка;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участник конкурса - заявитель, заявка которого была допущена на рассмотрение комиссии для рассмотрения и оценки заявок участников конкурса;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заявка - комплект документов, переданный оператору заявителем для участия в отборе в соответствии с </w:t>
      </w:r>
      <w:hyperlink w:anchor="P114">
        <w:r>
          <w:rPr>
            <w:color w:val="0000FF"/>
          </w:rPr>
          <w:t>пунктом 13</w:t>
        </w:r>
      </w:hyperlink>
      <w:r>
        <w:t xml:space="preserve"> Порядка;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заявление - </w:t>
      </w:r>
      <w:hyperlink w:anchor="P274">
        <w:r>
          <w:rPr>
            <w:color w:val="0000FF"/>
          </w:rPr>
          <w:t>заявление</w:t>
        </w:r>
      </w:hyperlink>
      <w:r>
        <w:t xml:space="preserve"> на участие в отборе, содержащее согласие на публикацию (размещение) в информационно-телекоммуникационной сети "Интернет" (далее - сеть Интернет) информации о заявителе, о подаваемой заявителем заявке, иной информации о заявителе, связанной с отбором, направленное заявителем оператору в составе заявки по форме согласно приложению N 1 к Порядку;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lastRenderedPageBreak/>
        <w:t>проект - социальный прое</w:t>
      </w:r>
      <w:proofErr w:type="gramStart"/>
      <w:r>
        <w:t>кт в сф</w:t>
      </w:r>
      <w:proofErr w:type="gramEnd"/>
      <w:r>
        <w:t>ере молодежной политики, включающий в себя комплекс мероприятий, направленных на решение задач социального, культурного, спортивного развития города и его жителей;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комиссия для рассмотрения и оценки заявок участников конкурса - коллегиальный орган, осуществляющий функции по определению победителей Конкурса (далее - конкурсная комиссия).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3. Целью предоставления субсидии является финансовое обеспечение части затрат, связанных с реализацией для жителей города проектов, направленных на создание в одном из общественных пространств города досугово-развлекательного пространства, приспособленного для самореализации жителей города и демонстрации ими своих творческих способностей, занятий физкультурой и спортом, а также проведения развлекательных и иных мероприятий с горожанами.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" w:name="P77"/>
      <w:bookmarkEnd w:id="1"/>
      <w:r>
        <w:t>4. Субсидия предоставляется в 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 "Содействие развитию гражданского общества в городе Красноярске" на соответствующий финансовый год и плановый период.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5.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год, является главное управление.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2" w:name="P79"/>
      <w:bookmarkEnd w:id="2"/>
      <w:r>
        <w:t>6. Способом проведения отбора является Конкурс.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7. Категорией, имеющей право на получение субсидии, являются социально ориентированные некоммерческие организации, реализующие проект в рамках осуществления их уставной деятельности, соответствующей положениям </w:t>
      </w:r>
      <w:hyperlink r:id="rId30">
        <w:r>
          <w:rPr>
            <w:color w:val="0000FF"/>
          </w:rPr>
          <w:t>статьи 31.1</w:t>
        </w:r>
      </w:hyperlink>
      <w:r>
        <w:t xml:space="preserve"> Федерального закона "О некоммерческих организациях".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8. Информация о размещении на едином портале бюджетной системы Российской Федерации в сети Интернет (далее - единый портал) (в разделе единого портала) сведений о субсидии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Title"/>
        <w:jc w:val="center"/>
        <w:outlineLvl w:val="1"/>
      </w:pPr>
      <w:r>
        <w:t>II. ПОРЯДОК ПРОВЕДЕНИЯ ОТБОРА ПОЛУЧАТЕЛЕЙ</w:t>
      </w:r>
    </w:p>
    <w:p w:rsidR="0036674A" w:rsidRDefault="0036674A">
      <w:pPr>
        <w:pStyle w:val="ConsPlusTitle"/>
        <w:jc w:val="center"/>
      </w:pPr>
      <w:r>
        <w:t>СУБСИДИИ ДЛЯ ПРЕДОСТАВЛЕНИЯ СУБСИДИИ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 xml:space="preserve">9. Конкурс проводится при определении получателей субсидии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Главное управление принимает решение о проведении Конкурса в форме приказа руководителя главного управления.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10. Приказом руководителя главного управления определяется оператор, обеспечивающий проведение Конкурса в течение текущего финансового года, но не позднее 1 февраля текущего финансового года.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Объявление о проведении Конкурса размещается главным управлением не позднее 1 февраля текущего финансового года на едином портале, а также на официальном сайте администрации города www.admkrsk.ru (далее - Сайт) в разделе "Конкурсы и гранты", сайте www.твоевремя24.рф в сети Интернет и содержит следующую информацию: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сроки проведения Конкурса;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lastRenderedPageBreak/>
        <w:t>этапы Конкурса с указанием сроков и порядка их проведения;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дату начала подачи или окончания приема заявок заявителями, </w:t>
      </w:r>
      <w:proofErr w:type="gramStart"/>
      <w:r>
        <w:t>которая</w:t>
      </w:r>
      <w:proofErr w:type="gramEnd"/>
      <w:r>
        <w:t xml:space="preserve"> не может быть ранее 30-го календарного дня, следующего за днем размещения объявления о проведении Конкурса;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наименование, местонахождение, почтовый адрес, адрес электронной почты оператора;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результаты предоставления субсидий в соответствии с </w:t>
      </w:r>
      <w:hyperlink w:anchor="P212">
        <w:r>
          <w:rPr>
            <w:color w:val="0000FF"/>
          </w:rPr>
          <w:t>пунктом 38</w:t>
        </w:r>
      </w:hyperlink>
      <w:r>
        <w:t xml:space="preserve"> Порядка;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доменное имя и (или) указатели страниц сайта, на котором обеспечивается проведение Конкурса;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требования к заявителю, указанные в </w:t>
      </w:r>
      <w:hyperlink w:anchor="P104">
        <w:r>
          <w:rPr>
            <w:color w:val="0000FF"/>
          </w:rPr>
          <w:t>пунктах 11</w:t>
        </w:r>
      </w:hyperlink>
      <w:r>
        <w:t xml:space="preserve">, </w:t>
      </w:r>
      <w:hyperlink w:anchor="P110">
        <w:r>
          <w:rPr>
            <w:color w:val="0000FF"/>
          </w:rPr>
          <w:t>12</w:t>
        </w:r>
      </w:hyperlink>
      <w:r>
        <w:t xml:space="preserve"> Порядка, и перечень документов, предоставляемых заявителем для подтверждения их соответствия требованиям, указанным в Порядке;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порядок подачи заявок заявителями и требования, предъявляемые к форме и содержанию заявок, подаваемых заявителями;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порядок отзыва заявок заявителем, порядок возврата заявок заявителю,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заявителю, порядок внесения изменений в заявки заявителями;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участников Конкурса в соответствии с </w:t>
      </w:r>
      <w:hyperlink w:anchor="P146">
        <w:r>
          <w:rPr>
            <w:color w:val="0000FF"/>
          </w:rPr>
          <w:t>пунктами 17</w:t>
        </w:r>
      </w:hyperlink>
      <w:r>
        <w:t xml:space="preserve"> - </w:t>
      </w:r>
      <w:hyperlink w:anchor="P178">
        <w:r>
          <w:rPr>
            <w:color w:val="0000FF"/>
          </w:rPr>
          <w:t>29</w:t>
        </w:r>
      </w:hyperlink>
      <w:r>
        <w:t xml:space="preserve"> Порядка;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порядок предоставления заявителям разъяснений положений объявления о проведении Конкурса, даты начала и окончания срока такого предоставления;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срок, в течение которого победитель Конкурса должен подписать соглашение;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условия признания победителя Конкурса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дату размещения результатов Конкурса на едином портале, а также на сайте в сети Интернет, которая не может быть позднее 14-го календарного дня, следующего за днем определения победителей Конкурса.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11. Заявители не ранее чем за 30 календарных дней до даты подачи заявки должны соответствовать следующим требованиям: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должна отсутствовать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Красноярском;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36674A" w:rsidRDefault="0036674A">
      <w:pPr>
        <w:pStyle w:val="ConsPlusNormal"/>
        <w:spacing w:before="220"/>
        <w:ind w:firstLine="540"/>
        <w:jc w:val="both"/>
      </w:pPr>
      <w:proofErr w:type="gramStart"/>
      <w: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>
        <w:lastRenderedPageBreak/>
        <w:t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не должны получать средства из бюджета города Красноярска на основании иных муниципальных правовых актов города Красноярска на цели, установленные настоящим Порядком.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12. Иные требования к заявителю: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должен быть зарегистрированным в установленном законом порядке;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осуществлять в соответствии со своими учредительными документами один или несколько видов деятельности, предусмотренных </w:t>
      </w:r>
      <w:hyperlink r:id="rId31">
        <w:r>
          <w:rPr>
            <w:color w:val="0000FF"/>
          </w:rPr>
          <w:t>пунктами 1</w:t>
        </w:r>
      </w:hyperlink>
      <w:r>
        <w:t xml:space="preserve">, </w:t>
      </w:r>
      <w:hyperlink r:id="rId32">
        <w:r>
          <w:rPr>
            <w:color w:val="0000FF"/>
          </w:rPr>
          <w:t>2 статьи 31.1</w:t>
        </w:r>
      </w:hyperlink>
      <w:r>
        <w:t xml:space="preserve"> Федерального закона "О некоммерческих организациях";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не являться органом государственной власти, органом местного самоуправления, и их структурным подразделением, государственным и муниципальным учреждением, политической партией и религиозной организацией, коммерческой организацией.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13. Для участия в конкурсе заявитель в течение срока, указанного в объявлении об отборе, представляет оператору на бумажном носителе заявку, в состав которой входят следующие документы: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заявление;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лица на осуществление действий от имени заявителя;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копия учредительных документов в действующей редакции;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выписка из Единого государственного реестра юридических лиц, полученная заявителем не ранее чем за 30 календарных дней до даты подачи заявки;</w:t>
      </w:r>
    </w:p>
    <w:bookmarkStart w:id="9" w:name="P119"/>
    <w:bookmarkEnd w:id="9"/>
    <w:p w:rsidR="0036674A" w:rsidRDefault="0036674A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"consultantplus://offline/ref=F6C6A494084CE3F729DFF0C5023D1542171877BEF0D014E50FA369DE61F257F01F142EBDFC0A6649E7A9306E1E9F148BE9B9A44DF9E9A745u2qFJ" \h</w:instrText>
      </w:r>
      <w:r>
        <w:fldChar w:fldCharType="separate"/>
      </w:r>
      <w:proofErr w:type="gramStart"/>
      <w:r>
        <w:rPr>
          <w:color w:val="0000FF"/>
        </w:rPr>
        <w:t>справка</w:t>
      </w:r>
      <w:r>
        <w:fldChar w:fldCharType="end"/>
      </w:r>
      <w:r>
        <w:t xml:space="preserve"> (или сведения, содержащиеся в ней) инспекции Федеральной налоговой службы по месту учета заявителя об отсутствии задолженности по уплате налогов или справку инспекции Федеральной налоговой службы о состоянии расчетов по налогам, сборам, взносам по форме, утвержденной Приказом Федеральной налоговой службы России от 20.01.2017 N ММВ-7-8/20@, выданная не ранее чем за 30 календарных дней до даты подачи заявки;</w:t>
      </w:r>
      <w:proofErr w:type="gramEnd"/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проект, подготовленный в соответствии с требованиями, установленными </w:t>
      </w:r>
      <w:hyperlink w:anchor="P124">
        <w:r>
          <w:rPr>
            <w:color w:val="0000FF"/>
          </w:rPr>
          <w:t>пунктом 14</w:t>
        </w:r>
      </w:hyperlink>
      <w:r>
        <w:t xml:space="preserve"> Порядка.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Документы, перечисленные в настоящем пункте, представляемые заявителем оператору, должны соответствовать следующим требованиям: каждый документ прошивается и нумеруется отдельно, скрепляется подписью заявителя с указанием общего количества листов.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Регистрация заявки осуществляется оператором в течение 1 календарного дня </w:t>
      </w:r>
      <w:proofErr w:type="gramStart"/>
      <w:r>
        <w:t>с даты</w:t>
      </w:r>
      <w:proofErr w:type="gramEnd"/>
      <w:r>
        <w:t xml:space="preserve"> ее подачи заявителем.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Порядок отзыва заявок заявителем, порядок возврата заявок заявителю,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заявителю, порядок внесения изменений в заявки заявителями определяется в объявлении о проведении отбора.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14. К участию в Конкурсе допускаются проекты, подготовленные в соответствии с типовой </w:t>
      </w:r>
      <w:r>
        <w:lastRenderedPageBreak/>
        <w:t xml:space="preserve">формой согласно </w:t>
      </w:r>
      <w:hyperlink w:anchor="P319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К проектам предъявляются следующие требования: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цели и задачи проекта должны соответствовать направлениям социально-экономического развития города Красноярска, предусмотренным </w:t>
      </w:r>
      <w:hyperlink r:id="rId33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 (далее - СЭР);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реализация проекта должна осуществляться на территории города Красноярска;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проект должен содержать описание актуальности проблемы, которую планируется решить посредством его реализации;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описание целевой аудитории проекта;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проектом должен быть предусмотрен перечень и описание основных мероприятий, услуг, иной деятельности в рамках проекта, сроки их реализации;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проект должен содержать описание инфраструктурного (технического и организационного) сопровождения мероприятий в рамках проекта;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в состав проекта должна быть включена смета расходов на реализацию проекта и ее обоснование;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проект должен иметь общественные цели и не противоречить действующему законодательству Российской Федерации;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проект не должен финансово поддерживать какую-либо политическую партию или коммерческую организацию;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проект должен предусматривать софинансирование его реализации в размере не менее 10% в денежной или натуральной форме, то есть доля собственных или привлекаемых за счет иных источников ресурсов для реализации проекта должна составлять не менее 10% от запрашиваемой суммы на реализацию проекта;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сумма, направляемая на оплату труда, не должна превышать 30% от запрашиваемой суммы на реализацию проекта;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расходы на приобретение оборудования не должны превышать 30% от запрашиваемой суммы сметы расходов по проекту;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сумма затрат на транспортные и командировочные расходы не должна превышать 30% от запрашиваемой суммы.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В качестве софинансирования могут выступать: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документально подтвержденный денежный эквивалент собственных ресурсов участника конкурса, необходимых для реализации проекта;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финансирование по проекту, полученное от других физических или юридических лиц на реализацию данного проекта (подтверждается соответствующими документами: гарантийными письмами, заключенными договорами, сертификатами и т.д.).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15. Заявителем может быть подано не более одной заявки.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если заявитель не представил документы, указанные в </w:t>
      </w:r>
      <w:hyperlink w:anchor="P118">
        <w:r>
          <w:rPr>
            <w:color w:val="0000FF"/>
          </w:rPr>
          <w:t>абзацах пятом</w:t>
        </w:r>
      </w:hyperlink>
      <w:r>
        <w:t xml:space="preserve">, </w:t>
      </w:r>
      <w:hyperlink w:anchor="P119">
        <w:r>
          <w:rPr>
            <w:color w:val="0000FF"/>
          </w:rPr>
          <w:t xml:space="preserve">шестом </w:t>
        </w:r>
        <w:r>
          <w:rPr>
            <w:color w:val="0000FF"/>
          </w:rPr>
          <w:lastRenderedPageBreak/>
          <w:t>пункта 13</w:t>
        </w:r>
      </w:hyperlink>
      <w:r>
        <w:t xml:space="preserve"> Порядка, главное управление в течение 3 календарных дней с даты получения заявки оператором запрашивает данные документы или сведения в порядке межведомственного информационного взаимодействия в государственных (муниципальных) органах, в распоряжении которых они находятся, в том числе посредством получения информации с помощью программного обеспечения, посредством информационно-телекоммуникационной сети Интернет</w:t>
      </w:r>
      <w:proofErr w:type="gramEnd"/>
      <w:r>
        <w:t>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В целях подтверждения сведений, указанных в </w:t>
      </w:r>
      <w:hyperlink w:anchor="P109">
        <w:r>
          <w:rPr>
            <w:color w:val="0000FF"/>
          </w:rPr>
          <w:t>абзаце шестом пункта 11</w:t>
        </w:r>
      </w:hyperlink>
      <w:r>
        <w:t xml:space="preserve"> Порядка, главное управление в течение 1 календарного дня </w:t>
      </w:r>
      <w:proofErr w:type="gramStart"/>
      <w:r>
        <w:t>с даты получения</w:t>
      </w:r>
      <w:proofErr w:type="gramEnd"/>
      <w:r>
        <w:t xml:space="preserve"> заявки оператором запрашивает необходимую информацию путем направления запросов в органы администрации города, а также посредством поиска запрашиваемой информации на Сайте в сети Интернет.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Документы и информация, полученные главным управлением в порядке межведомственного информационного взаимодействия, взаимодействия с органами администрации и поиска информации на Сайте в сети Интернет, направляются оператору и приобщаются к заявке в течение 1 календарного дня </w:t>
      </w:r>
      <w:proofErr w:type="gramStart"/>
      <w:r>
        <w:t>с даты получения</w:t>
      </w:r>
      <w:proofErr w:type="gramEnd"/>
      <w:r>
        <w:t xml:space="preserve"> указанных документов и информации.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 xml:space="preserve">17. </w:t>
      </w:r>
      <w:proofErr w:type="gramStart"/>
      <w:r>
        <w:t xml:space="preserve">Оператор в течение 15 календарных дней с даты окончания приема заявок, указанной в объявлении об отборе, рассматривает их на соответствие требованиям, предусмотренным </w:t>
      </w:r>
      <w:hyperlink w:anchor="P114">
        <w:r>
          <w:rPr>
            <w:color w:val="0000FF"/>
          </w:rPr>
          <w:t>пунктом 13</w:t>
        </w:r>
      </w:hyperlink>
      <w:r>
        <w:t xml:space="preserve"> Порядка, и соответствие заявителя требованиям, установленным </w:t>
      </w:r>
      <w:hyperlink w:anchor="P104">
        <w:r>
          <w:rPr>
            <w:color w:val="0000FF"/>
          </w:rPr>
          <w:t>пунктами 11</w:t>
        </w:r>
      </w:hyperlink>
      <w:r>
        <w:t xml:space="preserve">, </w:t>
      </w:r>
      <w:hyperlink w:anchor="P110">
        <w:r>
          <w:rPr>
            <w:color w:val="0000FF"/>
          </w:rPr>
          <w:t>12</w:t>
        </w:r>
      </w:hyperlink>
      <w:r>
        <w:t xml:space="preserve"> Порядка, по результатам рассмотрения заявок принимает решение о допуске заявок на рассмотрение конкурсной комиссии либо об отклонении заявки.</w:t>
      </w:r>
      <w:proofErr w:type="gramEnd"/>
      <w:r>
        <w:t xml:space="preserve"> Оператор направляет заявителю уведомление о принятом решении, а в случае отклонения заявки с указанием причин и оснований отклонения, в электронной форме по адресу электронной почты, указанному в заявлении, в течение 3 календарных дней </w:t>
      </w:r>
      <w:proofErr w:type="gramStart"/>
      <w:r>
        <w:t>с даты окончания</w:t>
      </w:r>
      <w:proofErr w:type="gramEnd"/>
      <w:r>
        <w:t xml:space="preserve"> срока рассмотрения заявок.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18. Основаниями для отклонения заявки являются: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w:anchor="P104">
        <w:r>
          <w:rPr>
            <w:color w:val="0000FF"/>
          </w:rPr>
          <w:t>пунктами 11</w:t>
        </w:r>
      </w:hyperlink>
      <w:r>
        <w:t xml:space="preserve">, и (или) </w:t>
      </w:r>
      <w:hyperlink w:anchor="P110">
        <w:r>
          <w:rPr>
            <w:color w:val="0000FF"/>
          </w:rPr>
          <w:t>12</w:t>
        </w:r>
      </w:hyperlink>
      <w:r>
        <w:t xml:space="preserve"> Порядка;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несоответствие представленной заявителем заявки требованиям к заявкам, установленным в объявлении о проведении отбора;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информации, в том числе информации о местонахождении и адресе заявителя;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подача заявителем заявки после даты и (или) времени, определенных для подачи заявок.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19. Заявитель имеет право подать заявление о возврате заявки и получить свою заявку по местонахождению оператора в течение 10 календарных дней </w:t>
      </w:r>
      <w:proofErr w:type="gramStart"/>
      <w:r>
        <w:t>с даты получения</w:t>
      </w:r>
      <w:proofErr w:type="gramEnd"/>
      <w:r>
        <w:t xml:space="preserve"> уведомления об отклонении заявки.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В случае если от заявителя не поступило письменное заявление о возврате заявки, документы, поданные в составе заявки, заявителю не возвращаются.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20. Заявки, которые были допущены на рассмотрение конкурсной комиссии, направляются оператором на рассмотрение конкурсной комиссии в течение 2 календарных дней </w:t>
      </w:r>
      <w:proofErr w:type="gramStart"/>
      <w:r>
        <w:t>с даты окончания</w:t>
      </w:r>
      <w:proofErr w:type="gramEnd"/>
      <w:r>
        <w:t xml:space="preserve"> срока рассмотрения заявок, установленного </w:t>
      </w:r>
      <w:hyperlink w:anchor="P146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21. Конкурсная комиссия создается на основании приказа руководителя главного управления.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Состав конкурсной комиссии формируется в количестве не менее 7 человек и утверждается не позднее 7 календарных дней </w:t>
      </w:r>
      <w:proofErr w:type="gramStart"/>
      <w:r>
        <w:t>с даты окончания</w:t>
      </w:r>
      <w:proofErr w:type="gramEnd"/>
      <w:r>
        <w:t xml:space="preserve"> приема заявок. В состав комиссии входят: председатель комиссии, заместитель председателя комиссии, секретарь комиссии, члены </w:t>
      </w:r>
      <w:r>
        <w:lastRenderedPageBreak/>
        <w:t>комиссии.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Конкурсная комиссия формируется из числа представителей главного управления, департамента социального развития администрации города, департамента экономической политики и инвестиционного развития администрации города, профессиональных сообществ, имеющих опыт, знания в области работы с молодежью, общественных организаций, депутатов Красноярского городского Совета депутатов.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Руководство работой конкурсной комиссии осуществляет ее председатель, в отсутствие председателя руководство конкурсной комиссией осуществляет его заместитель.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Заседания конкурсной комиссии правомочны, если на них присутствует не менее 2/3 от общего числа членов конкурсной комиссии. Решения конкурсной комиссии принимаются большинством голосов от присутствующих на заседании членов комиссии путем открытого голосования. В случае равенства голосов решающим является голос председателя.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Секретарь конкурсной комиссии информирует членов комиссии о повестке, времени и месте проведения заседаний комиссии, ведет протоколы заседаний конкурсной комиссии.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2" w:name="P161"/>
      <w:bookmarkEnd w:id="12"/>
      <w:r>
        <w:t>22. Заявки рассматриваются и оцениваются конкурсной комиссией на заседаниях, проводимых не позднее 5 календарных дней с даты их получения от оператора.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23. Конкурсная комиссия оценивает заявки на предмет </w:t>
      </w:r>
      <w:proofErr w:type="gramStart"/>
      <w:r>
        <w:t>соответствия участников Конкурса категории получателей</w:t>
      </w:r>
      <w:proofErr w:type="gramEnd"/>
      <w:r>
        <w:t xml:space="preserve"> субсидии, установленной </w:t>
      </w:r>
      <w:hyperlink w:anchor="P80">
        <w:r>
          <w:rPr>
            <w:color w:val="0000FF"/>
          </w:rPr>
          <w:t>пунктом 7</w:t>
        </w:r>
      </w:hyperlink>
      <w:r>
        <w:t xml:space="preserve"> Порядка, критериям оценки проектов, установленным </w:t>
      </w:r>
      <w:hyperlink w:anchor="P163">
        <w:r>
          <w:rPr>
            <w:color w:val="0000FF"/>
          </w:rPr>
          <w:t>пунктом 24</w:t>
        </w:r>
      </w:hyperlink>
      <w:r>
        <w:t xml:space="preserve"> Порядка, и требованиям, предъявляемым к проектам, установленным </w:t>
      </w:r>
      <w:hyperlink w:anchor="P124">
        <w:r>
          <w:rPr>
            <w:color w:val="0000FF"/>
          </w:rPr>
          <w:t>пунктом 14</w:t>
        </w:r>
      </w:hyperlink>
      <w:r>
        <w:t xml:space="preserve"> Порядка.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3" w:name="P163"/>
      <w:bookmarkEnd w:id="13"/>
      <w:r>
        <w:t>24. Критерии оценки проектов: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1) актуальность проекта. Оценивается членами конкурсной комиссии по 20-балльной шкале. При оценке проекта по данному критерию учитывается представленный анализ проблемы, на решение которой направлен проект, содержание обоснования необходимости и значимости для города решения обозначенной проблемы;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2) измеримость и конкретность ожидаемых результатов. Оценивается членами конкурсной комиссии по 30-балльной шкале. При оценке проекта по данному критерию учитывается точность обозначения временных рамок реализации проекта, описание форматов мероприятий в рамках проекта с обозначением целевой аудитории и количеством участников, что конкретно изменится в результате реализации проекта - описание созданного досугово-развлекательного пространства;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3) соответствие механизмов реализации проекта ожидаемым результатам. Оценивается членами конкурсной комиссии по 20-балльной шкале. При оценке проекта по данному критерию анализируются способы, при помощи которых запланировано достижение результатов проекта, какие инструменты будут использоваться для достижения и измерения результатов проекта;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4) наличие потенциальных партнеров, инвесторов в рамках реализации проекта. Оценивается членами конкурсной комиссии по 10-балльной шкале. Подтверждение наличия потенциальных партнеров и инвесторов осуществляется посредством писем поддержки, заключенных соглашений и т.п.;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5) финансовые и организационные возможности участника конкурса для обеспечения реализации проекта. Оценивается членами конкурсной комиссии по 20-балльной шкале. При оценке проекта по данному критерию анализируется предоставленное софинансирование проекта, потенциал имеющихся финансовых и иных ресурсов заявителя, а также кадровое обеспечение проекта.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lastRenderedPageBreak/>
        <w:t xml:space="preserve">25. Каждый член конкурсной комиссии заполняет на каждого участника конкурса оценочный </w:t>
      </w:r>
      <w:hyperlink w:anchor="P695">
        <w:r>
          <w:rPr>
            <w:color w:val="0000FF"/>
          </w:rPr>
          <w:t>лист</w:t>
        </w:r>
      </w:hyperlink>
      <w:r>
        <w:t xml:space="preserve"> по форме, установленной приложением N 3 к Порядку, в котором проставляет количество баллов по каждому критерию и общее количество баллов, набранных проектом.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На основании результатов оценочных листов конкурсной комиссией составляется рейтинг заявок, участвующих в Конкурсе, присваиваются порядковые номера заявкам в зависимости от набранного общего количества баллов, где порядковый номер "1" получает заявка с наибольшим общим оценочным баллом.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Для определения победителей Конкурса конкурсной комиссией последовательно выбираются по списку рейтинга заявки, начиная с заявки, имеющей порядковый номер "1".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При равенстве баллов в оценочных листах более высокое место в рейтинге присваивается заявке, поданной на Конкурс ранее, о чем в протоколе конкурсной комиссии делается соответствующая отметка.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26. Количество победителей - получателей субсидии устанавливается решением конкурсной комиссии исходя из смет расходов проектов и бюджетных ассигнований, предусмотренных на организацию и проведение Конкурса в текущем финансовом году.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Итоги Конкурса оформляются протоколом конкурсной комиссии в течение 1 календарного дня с даты истечения срока, установленного </w:t>
      </w:r>
      <w:hyperlink w:anchor="P161">
        <w:r>
          <w:rPr>
            <w:color w:val="0000FF"/>
          </w:rPr>
          <w:t>пунктом 22</w:t>
        </w:r>
      </w:hyperlink>
      <w:r>
        <w:t xml:space="preserve"> Порядка, в котором указываются сведения о времени, месте и дате проведения заседания, фамилии, имена и отчества присутствующих членов конкурсной комиссии, информация об участниках конкурса, заявки которых были рассмотрены, последовательность оценки заявок участников Конкурса, присвоенные заявкам участников Конкурса значения по каждому из предусмотренных</w:t>
      </w:r>
      <w:proofErr w:type="gramEnd"/>
      <w:r>
        <w:t xml:space="preserve"> критериев оценки заявок участников конкурса, принятые на основании результатов оценки заявок решения о присвоении таким заявкам порядковых номеров, результаты оценки заявок членами конкурсной комиссии, принятые решения по итогам проведения заседания, иные сведения.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Протокол подписывается всеми членами конкурсной комиссии и в течение 1 календарного дня </w:t>
      </w:r>
      <w:proofErr w:type="gramStart"/>
      <w:r>
        <w:t>с даты подписания</w:t>
      </w:r>
      <w:proofErr w:type="gramEnd"/>
      <w:r>
        <w:t xml:space="preserve"> направляется в главное управление.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К протоколу прилагаются итоговый рейтинг участников Конкурса, а также сформированный секретарем конкурсной комиссии перечень проектов участников Конкурса, рассмотренных конкурсной комиссией.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4" w:name="P177"/>
      <w:bookmarkEnd w:id="14"/>
      <w:r>
        <w:t xml:space="preserve">28. Главное управление в течение 5 календарных дней </w:t>
      </w:r>
      <w:proofErr w:type="gramStart"/>
      <w:r>
        <w:t>с даты получения</w:t>
      </w:r>
      <w:proofErr w:type="gramEnd"/>
      <w:r>
        <w:t xml:space="preserve"> протокола заседания конкурсной комиссии с приложением рейтинга участников Конкурса формирует список получателей субсидии, исходя из лимита бюджетных обязательств на предоставление субсидий на текущий финансовый год, в форме приказа руководителя главного управления.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5" w:name="P178"/>
      <w:bookmarkEnd w:id="15"/>
      <w:r>
        <w:t xml:space="preserve">29. Информация о результатах рассмотрения заявок размещается на едином портале, Сайте в разделе "Конкурсы и гранты", а также на сайте www.твоевремя24.рф в сети Интернет не позднее 3 календарных дней </w:t>
      </w:r>
      <w:proofErr w:type="gramStart"/>
      <w:r>
        <w:t>с даты издания</w:t>
      </w:r>
      <w:proofErr w:type="gramEnd"/>
      <w:r>
        <w:t xml:space="preserve"> приказа, указанного в </w:t>
      </w:r>
      <w:hyperlink w:anchor="P177">
        <w:r>
          <w:rPr>
            <w:color w:val="0000FF"/>
          </w:rPr>
          <w:t>пункте 28</w:t>
        </w:r>
      </w:hyperlink>
      <w:r>
        <w:t xml:space="preserve"> Порядка, включая следующие сведения: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дата, время и место оценки заявок участников Конкурса;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информация об участниках Конкурса, заявки которых были рассмотрены;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информация о заявителях,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lastRenderedPageBreak/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принятые на основании результатов оценки заявок решения о присвоении таким заявкам порядковых номеров;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наименование получателей субсидии, с которыми заключаются соглашения, и размеры предоставляемых им субсидий.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30. Конкурс признается не состоявшимся в случаях если: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на Конкурс не подана ни одна заявка;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ни один из заявителей, подавших заявку на участие в Конкурсе, не соответствует требованиям, предъявляемым к заявителям и заявкам в соответствии с </w:t>
      </w:r>
      <w:hyperlink w:anchor="P104">
        <w:r>
          <w:rPr>
            <w:color w:val="0000FF"/>
          </w:rPr>
          <w:t>пунктами 11</w:t>
        </w:r>
      </w:hyperlink>
      <w:r>
        <w:t xml:space="preserve"> - </w:t>
      </w:r>
      <w:hyperlink w:anchor="P114">
        <w:r>
          <w:rPr>
            <w:color w:val="0000FF"/>
          </w:rPr>
          <w:t>13</w:t>
        </w:r>
      </w:hyperlink>
      <w:r>
        <w:t xml:space="preserve"> Порядка;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ни один из представленных проектов не соответствует условиям Конкурса;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ни один из представленных проектов по итогам оценок экспертов не набрал в общей сложности более 50% от максимально возможного количества баллов.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31. В случае признания Конкурса несостоявшимся, а также увеличения бюджетных ассигнований в течение текущего финансового года, главное управление объявляет о проведении повторного Конкурса не позднее 1 июня текущего финансового года.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Повторный Конкурс проводится в соответствии с Порядком не ранее 30 календарных дней </w:t>
      </w:r>
      <w:proofErr w:type="gramStart"/>
      <w:r>
        <w:t>с даты размещения</w:t>
      </w:r>
      <w:proofErr w:type="gramEnd"/>
      <w:r>
        <w:t xml:space="preserve"> объявления о проведении повторного Конкурса.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32. В случае если на участие в Конкурсе подана только одна заявка, соответствующая требованиям настоящего Порядка, и проект набрал по результатам оценки более 50% от максимально возможного количества баллов, главное управление признает участника Конкурса победителем Конкурса - получателем субсидии и заключает с ним соглашение о предоставлении субсидии на реализацию проекта.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 xml:space="preserve">33. Размер субсидии устанавливается решением конкурсной комиссии </w:t>
      </w:r>
      <w:proofErr w:type="gramStart"/>
      <w:r>
        <w:t>исходя из сметы расходов по каждому представленному участниками Конкурса в составе заявок проекту и не может</w:t>
      </w:r>
      <w:proofErr w:type="gramEnd"/>
      <w:r>
        <w:t xml:space="preserve"> превышать 500000 (пятьсот тысяч) рублей 00 копеек одному получателю субсидии в текущем финансовом году.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Предоставление субсидии получателю субсидии осуществляется на основании заключенного соглашения путем перечисления главным управлением денежных средств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34. Главное управление в течение 5 календарных дней </w:t>
      </w:r>
      <w:proofErr w:type="gramStart"/>
      <w:r>
        <w:t>с даты издания</w:t>
      </w:r>
      <w:proofErr w:type="gramEnd"/>
      <w:r>
        <w:t xml:space="preserve"> приказа, установленного </w:t>
      </w:r>
      <w:hyperlink w:anchor="P177">
        <w:r>
          <w:rPr>
            <w:color w:val="0000FF"/>
          </w:rPr>
          <w:t>пунктом 28</w:t>
        </w:r>
      </w:hyperlink>
      <w:r>
        <w:t xml:space="preserve"> Порядка, направляет получателю субсидии по адресу электронной почты, указанному в заявлении, письменное уведомление о заключении соглашения (с указанием срока подписания, адреса предоставления и номера кабинета) и проект соглашения.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6" w:name="P199"/>
      <w:bookmarkEnd w:id="16"/>
      <w:r>
        <w:t xml:space="preserve">Получатель субсидии в течение 5 календарных дней </w:t>
      </w:r>
      <w:proofErr w:type="gramStart"/>
      <w:r>
        <w:t>с даты получения</w:t>
      </w:r>
      <w:proofErr w:type="gramEnd"/>
      <w:r>
        <w:t xml:space="preserve"> проекта соглашения подписывает его в двух экземплярах и предоставляет оба экземпляра подписанного соглашения в главное управление.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Главное управление в течение 3 календарных дней </w:t>
      </w:r>
      <w:proofErr w:type="gramStart"/>
      <w:r>
        <w:t>с даты получения</w:t>
      </w:r>
      <w:proofErr w:type="gramEnd"/>
      <w:r>
        <w:t xml:space="preserve"> двух экземпляров подписанного получателем субсидии соглашения подписывает их и уведомляет получателя </w:t>
      </w:r>
      <w:r>
        <w:lastRenderedPageBreak/>
        <w:t>субсидии о подписании соглашения по адресу электронной почты получателя субсидии, указанному в заявлении и (или) соглашении.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7" w:name="P201"/>
      <w:bookmarkEnd w:id="17"/>
      <w:r>
        <w:t xml:space="preserve">Главное управление в течение 3 календарных дней с даты направления уведомления о подписании </w:t>
      </w:r>
      <w:proofErr w:type="gramStart"/>
      <w:r>
        <w:t>соглашения</w:t>
      </w:r>
      <w:proofErr w:type="gramEnd"/>
      <w:r>
        <w:t xml:space="preserve"> в случае если получатель субсидии самостоятельно обратился в главное управление за получением подписанного экземпляра соглашения лично передает получателю субсидии подписанный экземпляр соглашения.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самостоятельно не обратился в главное управление за получением подписанного экземпляра соглашения, главное управление направляет подписанный экземпляр соглашения в течение 2 календарных дней </w:t>
      </w:r>
      <w:proofErr w:type="gramStart"/>
      <w:r>
        <w:t>с даты истечения</w:t>
      </w:r>
      <w:proofErr w:type="gramEnd"/>
      <w:r>
        <w:t xml:space="preserve"> срока, указанного в </w:t>
      </w:r>
      <w:hyperlink w:anchor="P201">
        <w:r>
          <w:rPr>
            <w:color w:val="0000FF"/>
          </w:rPr>
          <w:t>абзаце четвертом пункта 34</w:t>
        </w:r>
      </w:hyperlink>
      <w:r>
        <w:t xml:space="preserve"> Порядка, заказным письмом с уведомлением об отправлении по почтовому адресу, указанному в соглашении.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Соглашение считается заключенным с момента его подписания обеими сторонами.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35. В случае непредставления подписанного получателем субсидии соглашения в срок, установленный </w:t>
      </w:r>
      <w:hyperlink w:anchor="P199">
        <w:r>
          <w:rPr>
            <w:color w:val="0000FF"/>
          </w:rPr>
          <w:t>абзацем вторым пункта 34</w:t>
        </w:r>
      </w:hyperlink>
      <w:r>
        <w:t xml:space="preserve"> Порядка, получатель субсидии считается уклонившимся от заключения соглашения и лишается права на получение субсидии.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36. В срок не позднее 20 календарных дней </w:t>
      </w:r>
      <w:proofErr w:type="gramStart"/>
      <w:r>
        <w:t>с даты поступления</w:t>
      </w:r>
      <w:proofErr w:type="gramEnd"/>
      <w:r>
        <w:t xml:space="preserve"> в главное управление соглашения, подписанного получателем субсидии, главное управление перечисляет средства субсидии на счет получателя, открытый в учреждениях центрального банка Российской Федерации или кредитной организации, указанный получателем субсидии в соглашении.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Датой предоставления субсидии считается день списания указанных сре</w:t>
      </w:r>
      <w:proofErr w:type="gramStart"/>
      <w:r>
        <w:t>дств с л</w:t>
      </w:r>
      <w:proofErr w:type="gramEnd"/>
      <w:r>
        <w:t>ицевого счета главного управления.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37. Соглашение должно содержать: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указанных в </w:t>
      </w:r>
      <w:hyperlink w:anchor="P77">
        <w:r>
          <w:rPr>
            <w:color w:val="0000FF"/>
          </w:rPr>
          <w:t>пункте 4</w:t>
        </w:r>
      </w:hyperlink>
      <w:r>
        <w:t xml:space="preserve"> Порядка, приводящего к невозможности предоставления субсидии в размере, определенном в соглашении;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субсидии, а также показатели, необходимые для достижения результата предоставления субсидии, и их значения с указанием точной даты завершения;</w:t>
      </w:r>
    </w:p>
    <w:p w:rsidR="0036674A" w:rsidRDefault="0036674A">
      <w:pPr>
        <w:pStyle w:val="ConsPlusNormal"/>
        <w:spacing w:before="220"/>
        <w:ind w:firstLine="540"/>
        <w:jc w:val="both"/>
      </w:pPr>
      <w:proofErr w:type="gramStart"/>
      <w:r>
        <w:t>согласие получателя субсидии и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 главным управлением как получателем бюджетных средств соблюдения ими</w:t>
      </w:r>
      <w:proofErr w:type="gramEnd"/>
      <w:r>
        <w:t xml:space="preserve"> порядка и условий предоставления субсидии, в том числе в части достижения результатов предоставления субсидии, 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34">
        <w:r>
          <w:rPr>
            <w:color w:val="0000FF"/>
          </w:rPr>
          <w:t>статьями 268.1</w:t>
        </w:r>
      </w:hyperlink>
      <w:r>
        <w:t xml:space="preserve"> и </w:t>
      </w:r>
      <w:hyperlink r:id="rId3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Соглашение, дополнительное соглашение к соглашению, в том числе дополнительное соглашение о расторжении соглашения, заключается в соответствии с типовой формой соглашения, утвержденной приказом </w:t>
      </w:r>
      <w:proofErr w:type="gramStart"/>
      <w:r>
        <w:t>руководителя департамента финансов администрации города</w:t>
      </w:r>
      <w:proofErr w:type="gramEnd"/>
      <w:r>
        <w:t>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8" w:name="P212"/>
      <w:bookmarkEnd w:id="18"/>
      <w:r>
        <w:t xml:space="preserve">38. </w:t>
      </w:r>
      <w:proofErr w:type="gramStart"/>
      <w:r>
        <w:t xml:space="preserve">Результатом предоставления субсидии являются реализованные до 15 ноября года, в </w:t>
      </w:r>
      <w:r>
        <w:lastRenderedPageBreak/>
        <w:t>котором предоставлена субсидия, социально ориентированными некоммерческими организациями проекты, в ходе реализации которых в одном из общественных пространств города функционировало досугово-развлекательное пространство, приспособленное для самореализации жителей города и демонстрации ими своих творческих способностей, занятий физкультурой и спортом, а также проведения развлекательных и иных мероприятий с горожанами.</w:t>
      </w:r>
      <w:proofErr w:type="gramEnd"/>
    </w:p>
    <w:p w:rsidR="0036674A" w:rsidRDefault="0036674A">
      <w:pPr>
        <w:pStyle w:val="ConsPlusNormal"/>
        <w:spacing w:before="220"/>
        <w:ind w:firstLine="540"/>
        <w:jc w:val="both"/>
      </w:pPr>
      <w:proofErr w:type="gramStart"/>
      <w:r>
        <w:t>Конкретные значения показателей, необходимых для достижения результата предоставления субсидии, определяются главным управлением пропорционально размеру субсидии, предоставленной получателю субсидии, и устанавливаются в соглашении с указанием точной даты завершения, а также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  <w:proofErr w:type="gramEnd"/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Получателям субсидий, а также иным юридическим лицам, получающим средства на основании договоров, заключенных с получателями субсидий,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субсидий, установленных </w:t>
      </w:r>
      <w:hyperlink w:anchor="P212">
        <w:r>
          <w:rPr>
            <w:color w:val="0000FF"/>
          </w:rPr>
          <w:t>пунктом 38</w:t>
        </w:r>
      </w:hyperlink>
      <w:r>
        <w:t xml:space="preserve"> Порядка, иных операций</w:t>
      </w:r>
      <w:proofErr w:type="gramEnd"/>
      <w:r>
        <w:t>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40. В целях использования средств субсидии определяются следующие направления расходов на реализацию проекта: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сумма, направляемая на оплату труда, не должна превышать 30% от размера субсидии;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аренда помещений и оборудования;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расходные материалы;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расходы на связь;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оплата услуг сторонних организаций;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накладные расходы получателя субсидии, возникающие в ходе реализации проекта;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расходы на приобретение оборудования не должны превышать 30% от размера субсидии;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сумма затрат на транспортные и командировочные расходы не должна превышать 30% от размера субсидии.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41. Основаниями для отказа получателю субсидии в предоставлении субсидии являются: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несоответствие представленных получателем субсидии документов требованиям, определенным в объявлении об отборе, или непредставление (представление не в полном объеме) указанных документов;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19" w:name="P227"/>
      <w:bookmarkEnd w:id="19"/>
      <w:r>
        <w:t xml:space="preserve">42. Получатель субсидии обязан возвратить средства субсидии на лицевой счет главного управления в течение 10 календарных дней </w:t>
      </w:r>
      <w:proofErr w:type="gramStart"/>
      <w:r>
        <w:t>с даты получения</w:t>
      </w:r>
      <w:proofErr w:type="gramEnd"/>
      <w:r>
        <w:t xml:space="preserve"> от главного управления соответствующего письменного требования, но не позднее 25 декабря текущего финансового года, в случае: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20" w:name="P228"/>
      <w:bookmarkEnd w:id="20"/>
      <w:r>
        <w:t xml:space="preserve">выявления факта нарушения условий, установленных при предоставлении субсидии, в том </w:t>
      </w:r>
      <w:r>
        <w:lastRenderedPageBreak/>
        <w:t>числе по результатам проверок, проведенных главным управлением и органами муниципального финансового контроля;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21" w:name="P229"/>
      <w:bookmarkEnd w:id="21"/>
      <w:r>
        <w:t>представления получателем субсидии недостоверных сведений, содержащихся в заявке, в ходе реализации Проекта;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22" w:name="P230"/>
      <w:bookmarkEnd w:id="22"/>
      <w:r>
        <w:t>недостижения результатов предоставления субсидии;</w:t>
      </w:r>
    </w:p>
    <w:p w:rsidR="0036674A" w:rsidRDefault="0036674A">
      <w:pPr>
        <w:pStyle w:val="ConsPlusNormal"/>
        <w:spacing w:before="220"/>
        <w:ind w:firstLine="540"/>
        <w:jc w:val="both"/>
      </w:pPr>
      <w:bookmarkStart w:id="23" w:name="P231"/>
      <w:bookmarkEnd w:id="23"/>
      <w:r>
        <w:t>неиспользования либо нецелевого использования средств субсидии получателем субсидии.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w:anchor="P228">
        <w:r>
          <w:rPr>
            <w:color w:val="0000FF"/>
          </w:rPr>
          <w:t>абзацами вторым</w:t>
        </w:r>
      </w:hyperlink>
      <w:r>
        <w:t xml:space="preserve">, </w:t>
      </w:r>
      <w:hyperlink w:anchor="P229">
        <w:r>
          <w:rPr>
            <w:color w:val="0000FF"/>
          </w:rPr>
          <w:t>третьим</w:t>
        </w:r>
      </w:hyperlink>
      <w:r>
        <w:t xml:space="preserve"> настоящего пункта, субсидия подлежит возврату в бюджет города в полном объеме.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w:anchor="P230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231">
        <w:r>
          <w:rPr>
            <w:color w:val="0000FF"/>
          </w:rPr>
          <w:t>пятым</w:t>
        </w:r>
      </w:hyperlink>
      <w:r>
        <w:t xml:space="preserve"> настоящего пункта, сумма субсидии, подлежащая возврату, рассчитывается пропорционально неиспользованной части субсидии либо использованной не по целевому назначению части субсидии, либо пропорционально недостигнутым значениям результатов предоставления субсидии.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Главное управление готовит письменное требование о возврате в бюджет города средств субсидии, полученных получателем субсидии (далее - письменное требование), в течение 30 календарных дней с даты выявления обстоятельств, указанных в </w:t>
      </w:r>
      <w:hyperlink w:anchor="P227">
        <w:r>
          <w:rPr>
            <w:color w:val="0000FF"/>
          </w:rPr>
          <w:t>пункте 42</w:t>
        </w:r>
      </w:hyperlink>
      <w:r>
        <w:t xml:space="preserve"> настоящего Порядка, и направляет его на указанный в соглашении адрес электронной почты и (или) почтовый адрес получателя субсидии заказным письмом с уведомлением о вручении.</w:t>
      </w:r>
      <w:proofErr w:type="gramEnd"/>
    </w:p>
    <w:p w:rsidR="0036674A" w:rsidRDefault="0036674A">
      <w:pPr>
        <w:pStyle w:val="ConsPlusNormal"/>
        <w:spacing w:before="220"/>
        <w:ind w:firstLine="540"/>
        <w:jc w:val="both"/>
      </w:pPr>
      <w:bookmarkStart w:id="24" w:name="P235"/>
      <w:bookmarkEnd w:id="24"/>
      <w:r>
        <w:t xml:space="preserve">44. </w:t>
      </w:r>
      <w:proofErr w:type="gramStart"/>
      <w:r>
        <w:t>В случае если получатель субсидии не возвратил средства субсидии в установленный в письменном требовании срок или возвратил ее не в полном объеме, главное управление в течение 30 календарных дней с даты истечения срока, установленного для возврата средств субсидии, обращается в суд с заявлением о взыскании перечисленных средств субсидии в бюджет города в соответствии с действующим законодательством Российской Федерации.</w:t>
      </w:r>
      <w:proofErr w:type="gramEnd"/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Title"/>
        <w:jc w:val="center"/>
        <w:outlineLvl w:val="1"/>
      </w:pPr>
      <w:r>
        <w:t>IV. ТРЕБОВАНИЯ К ОТЧЕТНОСТИ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>45. Получатель субсидии ежеквартально, не позднее 10 числа месяца, следующего за отчетным кварталом, а также по итогам реализации проекта не позднее 15 ноября года, в котором предоставлена субсидия, представляет в главное управление следующие отчеты: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отчет об осуществлении расходов, источником финансового обеспечения которых является субсидия, с приложением копий первичных бухгалтерских документов, подтверждающих несение финансовых расходов;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отчет о достижении значений результатов и показателей, установленных </w:t>
      </w:r>
      <w:hyperlink w:anchor="P212">
        <w:r>
          <w:rPr>
            <w:color w:val="0000FF"/>
          </w:rPr>
          <w:t>пунктом 38</w:t>
        </w:r>
      </w:hyperlink>
      <w:r>
        <w:t xml:space="preserve"> Порядка и соглашением.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Отчеты предоставляются в соответствии с формой, определенной типовой формой соглашения, утвержденной приказом </w:t>
      </w:r>
      <w:proofErr w:type="gramStart"/>
      <w:r>
        <w:t>руководителя департамента финансов администрации города</w:t>
      </w:r>
      <w:proofErr w:type="gramEnd"/>
      <w:r>
        <w:t>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>46. Главное управление вправе устанавливать в соглашении сроки и формы представления получателем субсидии дополнительной отчетности.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36674A" w:rsidRDefault="0036674A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36674A" w:rsidRDefault="0036674A">
      <w:pPr>
        <w:pStyle w:val="ConsPlusTitle"/>
        <w:jc w:val="center"/>
      </w:pPr>
      <w:r>
        <w:t>И ОТВЕТСТВЕННОСТЬ ЗА ИХ НАРУШЕНИЕ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 xml:space="preserve">47. Главное управление как получатель бюджетных средств осуществляет проверку соблюдения получателем субсидии порядка и условий предоставления субсидий, в том числе в </w:t>
      </w:r>
      <w:r>
        <w:lastRenderedPageBreak/>
        <w:t xml:space="preserve">части достижения результатов предоставления субсидии. Органы муниципального финансового контроля осуществляют проверку в соответствии со </w:t>
      </w:r>
      <w:hyperlink r:id="rId36">
        <w:r>
          <w:rPr>
            <w:color w:val="0000FF"/>
          </w:rPr>
          <w:t>статьями 268.1</w:t>
        </w:r>
      </w:hyperlink>
      <w:r>
        <w:t xml:space="preserve">, </w:t>
      </w:r>
      <w:hyperlink r:id="rId3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Главное управление, финансовый орган муниципального образования осуществляют проведение мониторинга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38">
        <w:r>
          <w:rPr>
            <w:color w:val="0000FF"/>
          </w:rPr>
          <w:t>порядке</w:t>
        </w:r>
      </w:hyperlink>
      <w:r>
        <w:t xml:space="preserve"> и по формам, установленным Приказом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</w:t>
      </w:r>
      <w:proofErr w:type="gramEnd"/>
      <w:r>
        <w:t>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Мерой ответственности за нарушение условий порядка предоставления субсидий является возврат средств субсидий в бюджет города, в случае нарушения получателем субсидии условий,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главным управлением как получателем бюджетных средств и органом муниципального финансового контроля, а также в случае недостижения значений результатов.</w:t>
      </w:r>
    </w:p>
    <w:p w:rsidR="0036674A" w:rsidRDefault="0036674A">
      <w:pPr>
        <w:pStyle w:val="ConsPlusNormal"/>
        <w:spacing w:before="220"/>
        <w:ind w:firstLine="540"/>
        <w:jc w:val="both"/>
      </w:pPr>
      <w:r>
        <w:t xml:space="preserve">Порядок и сроки возврата субсидий и средств, полученных на основании договоров, заключенных получателями субсидий, в бюджет города осуществляется в соответствии </w:t>
      </w:r>
      <w:hyperlink w:anchor="P227">
        <w:r>
          <w:rPr>
            <w:color w:val="0000FF"/>
          </w:rPr>
          <w:t>пунктами 42</w:t>
        </w:r>
      </w:hyperlink>
      <w:r>
        <w:t xml:space="preserve">, </w:t>
      </w:r>
      <w:hyperlink w:anchor="P235">
        <w:r>
          <w:rPr>
            <w:color w:val="0000FF"/>
          </w:rPr>
          <w:t>44</w:t>
        </w:r>
      </w:hyperlink>
      <w:r>
        <w:t xml:space="preserve"> Порядка.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right"/>
        <w:outlineLvl w:val="1"/>
      </w:pPr>
      <w:r>
        <w:t>Приложение N 1</w:t>
      </w:r>
    </w:p>
    <w:p w:rsidR="0036674A" w:rsidRDefault="0036674A">
      <w:pPr>
        <w:pStyle w:val="ConsPlusNormal"/>
        <w:jc w:val="right"/>
      </w:pPr>
      <w:r>
        <w:t>к Порядку</w:t>
      </w:r>
    </w:p>
    <w:p w:rsidR="0036674A" w:rsidRDefault="0036674A">
      <w:pPr>
        <w:pStyle w:val="ConsPlusNormal"/>
        <w:jc w:val="right"/>
      </w:pPr>
      <w:r>
        <w:t>предоставления субсидий</w:t>
      </w:r>
    </w:p>
    <w:p w:rsidR="0036674A" w:rsidRDefault="0036674A">
      <w:pPr>
        <w:pStyle w:val="ConsPlusNormal"/>
        <w:jc w:val="right"/>
      </w:pPr>
      <w:r>
        <w:t>социально ориентированным</w:t>
      </w:r>
    </w:p>
    <w:p w:rsidR="0036674A" w:rsidRDefault="0036674A">
      <w:pPr>
        <w:pStyle w:val="ConsPlusNormal"/>
        <w:jc w:val="right"/>
      </w:pPr>
      <w:r>
        <w:t>некоммерческим организациям,</w:t>
      </w:r>
    </w:p>
    <w:p w:rsidR="0036674A" w:rsidRDefault="0036674A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36674A" w:rsidRDefault="0036674A">
      <w:pPr>
        <w:pStyle w:val="ConsPlusNormal"/>
        <w:jc w:val="right"/>
      </w:pPr>
      <w:r>
        <w:t>(муниципальными) учреждениями,</w:t>
      </w:r>
    </w:p>
    <w:p w:rsidR="0036674A" w:rsidRDefault="0036674A">
      <w:pPr>
        <w:pStyle w:val="ConsPlusNormal"/>
        <w:jc w:val="right"/>
      </w:pPr>
      <w:r>
        <w:t>в целях финансового обеспечения</w:t>
      </w:r>
    </w:p>
    <w:p w:rsidR="0036674A" w:rsidRDefault="0036674A">
      <w:pPr>
        <w:pStyle w:val="ConsPlusNormal"/>
        <w:jc w:val="right"/>
      </w:pPr>
      <w:r>
        <w:t>части затрат, связанных</w:t>
      </w:r>
    </w:p>
    <w:p w:rsidR="0036674A" w:rsidRDefault="0036674A">
      <w:pPr>
        <w:pStyle w:val="ConsPlusNormal"/>
        <w:jc w:val="right"/>
      </w:pPr>
      <w:r>
        <w:t>с реализацией для жителей</w:t>
      </w:r>
    </w:p>
    <w:p w:rsidR="0036674A" w:rsidRDefault="0036674A">
      <w:pPr>
        <w:pStyle w:val="ConsPlusNormal"/>
        <w:jc w:val="right"/>
      </w:pPr>
      <w:r>
        <w:t>города социальных проектов</w:t>
      </w:r>
    </w:p>
    <w:p w:rsidR="0036674A" w:rsidRDefault="0036674A">
      <w:pPr>
        <w:pStyle w:val="ConsPlusNormal"/>
        <w:jc w:val="right"/>
      </w:pPr>
      <w:r>
        <w:t>в сфере молодежной</w:t>
      </w:r>
    </w:p>
    <w:p w:rsidR="0036674A" w:rsidRDefault="0036674A">
      <w:pPr>
        <w:pStyle w:val="ConsPlusNormal"/>
        <w:jc w:val="right"/>
      </w:pPr>
      <w:r>
        <w:t>политики по направлению</w:t>
      </w:r>
    </w:p>
    <w:p w:rsidR="0036674A" w:rsidRDefault="0036674A">
      <w:pPr>
        <w:pStyle w:val="ConsPlusNormal"/>
        <w:jc w:val="right"/>
      </w:pPr>
      <w:r>
        <w:t xml:space="preserve">"Поддержка </w:t>
      </w:r>
      <w:proofErr w:type="gramStart"/>
      <w:r>
        <w:t>локальных</w:t>
      </w:r>
      <w:proofErr w:type="gramEnd"/>
    </w:p>
    <w:p w:rsidR="0036674A" w:rsidRDefault="0036674A">
      <w:pPr>
        <w:pStyle w:val="ConsPlusNormal"/>
        <w:jc w:val="right"/>
      </w:pPr>
      <w:r>
        <w:t>экспериментальных площадок"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3"/>
        <w:gridCol w:w="1020"/>
        <w:gridCol w:w="2568"/>
      </w:tblGrid>
      <w:tr w:rsidR="0036674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jc w:val="center"/>
            </w:pPr>
            <w:bookmarkStart w:id="25" w:name="P274"/>
            <w:bookmarkEnd w:id="25"/>
            <w:r>
              <w:t>ЗАЯВЛЕНИЕ</w:t>
            </w:r>
          </w:p>
          <w:p w:rsidR="0036674A" w:rsidRDefault="0036674A">
            <w:pPr>
              <w:pStyle w:val="ConsPlusNormal"/>
              <w:jc w:val="center"/>
            </w:pPr>
            <w:r>
              <w:t>на участие в конкурсе</w:t>
            </w:r>
          </w:p>
        </w:tc>
      </w:tr>
      <w:tr w:rsidR="0036674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36674A" w:rsidRDefault="0036674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36674A" w:rsidRDefault="0036674A">
            <w:pPr>
              <w:pStyle w:val="ConsPlusNormal"/>
              <w:jc w:val="center"/>
            </w:pPr>
            <w:proofErr w:type="gramStart"/>
            <w:r>
              <w:t>(наименование юридического лица, ИНН, адрес местонахождения,</w:t>
            </w:r>
            <w:proofErr w:type="gramEnd"/>
          </w:p>
          <w:p w:rsidR="0036674A" w:rsidRDefault="0036674A">
            <w:pPr>
              <w:pStyle w:val="ConsPlusNormal"/>
              <w:jc w:val="center"/>
            </w:pPr>
            <w:r>
              <w:t>телефон, адрес электронной почты)</w:t>
            </w:r>
          </w:p>
        </w:tc>
      </w:tr>
      <w:tr w:rsidR="0036674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ind w:firstLine="283"/>
              <w:jc w:val="both"/>
            </w:pPr>
            <w:r>
              <w:t>Уведомления о принятых оператором конкурса решениях прошу направлять на адрес электронной почты юридического лица __________________________________</w:t>
            </w:r>
          </w:p>
          <w:p w:rsidR="0036674A" w:rsidRDefault="0036674A">
            <w:pPr>
              <w:pStyle w:val="ConsPlusNormal"/>
            </w:pPr>
            <w:r>
              <w:t>_________________________________________________________________________.</w:t>
            </w:r>
          </w:p>
          <w:p w:rsidR="0036674A" w:rsidRDefault="0036674A">
            <w:pPr>
              <w:pStyle w:val="ConsPlusNormal"/>
              <w:ind w:firstLine="283"/>
              <w:jc w:val="both"/>
            </w:pPr>
            <w:r>
              <w:t>Достоверность представленных документов удостоверяю.</w:t>
            </w:r>
          </w:p>
          <w:p w:rsidR="0036674A" w:rsidRDefault="0036674A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Интернет информации о "____________" (наименование организации-заявителя), о подаваемой "______________" (наименование организации-заявителя) заявке и иной информации о "_____________" (наименование организации-заявителя), связанной с соответствующим отбором.</w:t>
            </w:r>
          </w:p>
          <w:p w:rsidR="0036674A" w:rsidRDefault="0036674A">
            <w:pPr>
              <w:pStyle w:val="ConsPlusNormal"/>
              <w:ind w:firstLine="283"/>
              <w:jc w:val="both"/>
            </w:pPr>
            <w:r>
              <w:t>Перечень прилагаемых документов:</w:t>
            </w:r>
          </w:p>
          <w:p w:rsidR="0036674A" w:rsidRDefault="0036674A">
            <w:pPr>
              <w:pStyle w:val="ConsPlusNormal"/>
              <w:ind w:firstLine="283"/>
              <w:jc w:val="both"/>
            </w:pPr>
            <w:r>
              <w:t>1. _____________________________________________________________________.</w:t>
            </w:r>
          </w:p>
          <w:p w:rsidR="0036674A" w:rsidRDefault="0036674A">
            <w:pPr>
              <w:pStyle w:val="ConsPlusNormal"/>
              <w:ind w:firstLine="283"/>
              <w:jc w:val="both"/>
            </w:pPr>
            <w:r>
              <w:t>2. _____________________________________________________________________.</w:t>
            </w:r>
          </w:p>
        </w:tc>
      </w:tr>
      <w:tr w:rsidR="0036674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jc w:val="center"/>
            </w:pPr>
            <w:proofErr w:type="gramStart"/>
            <w:r>
              <w:t>(должность, фамилия, имя, отчество</w:t>
            </w:r>
            <w:proofErr w:type="gramEnd"/>
          </w:p>
          <w:p w:rsidR="0036674A" w:rsidRDefault="0036674A">
            <w:pPr>
              <w:pStyle w:val="ConsPlusNormal"/>
              <w:jc w:val="center"/>
            </w:pPr>
            <w:r>
              <w:t>(при наличии) уполномоченного лица)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ind w:firstLine="709"/>
            </w:pPr>
            <w:r>
              <w:t>(подпись)</w:t>
            </w:r>
          </w:p>
        </w:tc>
      </w:tr>
      <w:tr w:rsidR="0036674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  <w:r>
              <w:t>"__" ____________ 20__ г.</w:t>
            </w:r>
          </w:p>
          <w:p w:rsidR="0036674A" w:rsidRDefault="0036674A">
            <w:pPr>
              <w:pStyle w:val="ConsPlusNormal"/>
            </w:pPr>
          </w:p>
          <w:p w:rsidR="0036674A" w:rsidRDefault="0036674A">
            <w:pPr>
              <w:pStyle w:val="ConsPlusNormal"/>
            </w:pPr>
            <w:r>
              <w:t>М.П. (при наличии печати)</w:t>
            </w: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right"/>
        <w:outlineLvl w:val="1"/>
      </w:pPr>
      <w:r>
        <w:t>Приложение N 2</w:t>
      </w:r>
    </w:p>
    <w:p w:rsidR="0036674A" w:rsidRDefault="0036674A">
      <w:pPr>
        <w:pStyle w:val="ConsPlusNormal"/>
        <w:jc w:val="right"/>
      </w:pPr>
      <w:r>
        <w:t>к Порядку</w:t>
      </w:r>
    </w:p>
    <w:p w:rsidR="0036674A" w:rsidRDefault="0036674A">
      <w:pPr>
        <w:pStyle w:val="ConsPlusNormal"/>
        <w:jc w:val="right"/>
      </w:pPr>
      <w:r>
        <w:t>предоставления субсидий</w:t>
      </w:r>
    </w:p>
    <w:p w:rsidR="0036674A" w:rsidRDefault="0036674A">
      <w:pPr>
        <w:pStyle w:val="ConsPlusNormal"/>
        <w:jc w:val="right"/>
      </w:pPr>
      <w:r>
        <w:t>социально ориентированным</w:t>
      </w:r>
    </w:p>
    <w:p w:rsidR="0036674A" w:rsidRDefault="0036674A">
      <w:pPr>
        <w:pStyle w:val="ConsPlusNormal"/>
        <w:jc w:val="right"/>
      </w:pPr>
      <w:r>
        <w:t>некоммерческим организациям,</w:t>
      </w:r>
    </w:p>
    <w:p w:rsidR="0036674A" w:rsidRDefault="0036674A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36674A" w:rsidRDefault="0036674A">
      <w:pPr>
        <w:pStyle w:val="ConsPlusNormal"/>
        <w:jc w:val="right"/>
      </w:pPr>
      <w:r>
        <w:t>(муниципальными) учреждениями,</w:t>
      </w:r>
    </w:p>
    <w:p w:rsidR="0036674A" w:rsidRDefault="0036674A">
      <w:pPr>
        <w:pStyle w:val="ConsPlusNormal"/>
        <w:jc w:val="right"/>
      </w:pPr>
      <w:r>
        <w:t>в целях финансового обеспечения</w:t>
      </w:r>
    </w:p>
    <w:p w:rsidR="0036674A" w:rsidRDefault="0036674A">
      <w:pPr>
        <w:pStyle w:val="ConsPlusNormal"/>
        <w:jc w:val="right"/>
      </w:pPr>
      <w:r>
        <w:t>части затрат, связанных</w:t>
      </w:r>
    </w:p>
    <w:p w:rsidR="0036674A" w:rsidRDefault="0036674A">
      <w:pPr>
        <w:pStyle w:val="ConsPlusNormal"/>
        <w:jc w:val="right"/>
      </w:pPr>
      <w:r>
        <w:t>с реализацией для жителей</w:t>
      </w:r>
    </w:p>
    <w:p w:rsidR="0036674A" w:rsidRDefault="0036674A">
      <w:pPr>
        <w:pStyle w:val="ConsPlusNormal"/>
        <w:jc w:val="right"/>
      </w:pPr>
      <w:r>
        <w:t>города социальных проектов</w:t>
      </w:r>
    </w:p>
    <w:p w:rsidR="0036674A" w:rsidRDefault="0036674A">
      <w:pPr>
        <w:pStyle w:val="ConsPlusNormal"/>
        <w:jc w:val="right"/>
      </w:pPr>
      <w:r>
        <w:t>в сфере молодежной</w:t>
      </w:r>
    </w:p>
    <w:p w:rsidR="0036674A" w:rsidRDefault="0036674A">
      <w:pPr>
        <w:pStyle w:val="ConsPlusNormal"/>
        <w:jc w:val="right"/>
      </w:pPr>
      <w:r>
        <w:t>политики по направлению</w:t>
      </w:r>
    </w:p>
    <w:p w:rsidR="0036674A" w:rsidRDefault="0036674A">
      <w:pPr>
        <w:pStyle w:val="ConsPlusNormal"/>
        <w:jc w:val="right"/>
      </w:pPr>
      <w:r>
        <w:t xml:space="preserve">"Поддержка </w:t>
      </w:r>
      <w:proofErr w:type="gramStart"/>
      <w:r>
        <w:t>локальных</w:t>
      </w:r>
      <w:proofErr w:type="gramEnd"/>
    </w:p>
    <w:p w:rsidR="0036674A" w:rsidRDefault="0036674A">
      <w:pPr>
        <w:pStyle w:val="ConsPlusNormal"/>
        <w:jc w:val="right"/>
      </w:pPr>
      <w:r>
        <w:t>экспериментальных площадок"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center"/>
      </w:pPr>
      <w:bookmarkStart w:id="26" w:name="P319"/>
      <w:bookmarkEnd w:id="26"/>
      <w:r>
        <w:t>ТИПОВАЯ ФОРМА ПРОЕКТА</w:t>
      </w:r>
    </w:p>
    <w:p w:rsidR="0036674A" w:rsidRDefault="0036674A">
      <w:pPr>
        <w:pStyle w:val="ConsPlusNormal"/>
        <w:jc w:val="center"/>
      </w:pPr>
      <w:r>
        <w:t>участника конкурса, проводимого в целях финансового</w:t>
      </w:r>
    </w:p>
    <w:p w:rsidR="0036674A" w:rsidRDefault="0036674A">
      <w:pPr>
        <w:pStyle w:val="ConsPlusNormal"/>
        <w:jc w:val="center"/>
      </w:pPr>
      <w:r>
        <w:t>обеспечения части затрат, связанных с реализацией</w:t>
      </w:r>
    </w:p>
    <w:p w:rsidR="0036674A" w:rsidRDefault="0036674A">
      <w:pPr>
        <w:pStyle w:val="ConsPlusNormal"/>
        <w:jc w:val="center"/>
      </w:pPr>
      <w:r>
        <w:t>для жителей города социальных проектов в сфере молодежной</w:t>
      </w:r>
    </w:p>
    <w:p w:rsidR="0036674A" w:rsidRDefault="0036674A">
      <w:pPr>
        <w:pStyle w:val="ConsPlusNormal"/>
        <w:jc w:val="center"/>
      </w:pPr>
      <w:r>
        <w:t xml:space="preserve">политики по направлению "Поддержка </w:t>
      </w:r>
      <w:proofErr w:type="gramStart"/>
      <w:r>
        <w:t>локальных</w:t>
      </w:r>
      <w:proofErr w:type="gramEnd"/>
    </w:p>
    <w:p w:rsidR="0036674A" w:rsidRDefault="0036674A">
      <w:pPr>
        <w:pStyle w:val="ConsPlusNormal"/>
        <w:jc w:val="center"/>
      </w:pPr>
      <w:r>
        <w:t>экспериментальных площадок"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center"/>
        <w:outlineLvl w:val="2"/>
      </w:pPr>
      <w:r>
        <w:t>Титульный лист проекта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59"/>
        <w:gridCol w:w="439"/>
        <w:gridCol w:w="375"/>
        <w:gridCol w:w="1590"/>
        <w:gridCol w:w="348"/>
        <w:gridCol w:w="361"/>
        <w:gridCol w:w="1483"/>
        <w:gridCol w:w="1692"/>
      </w:tblGrid>
      <w:tr w:rsidR="0036674A">
        <w:tc>
          <w:tcPr>
            <w:tcW w:w="5812" w:type="dxa"/>
            <w:gridSpan w:val="7"/>
          </w:tcPr>
          <w:p w:rsidR="0036674A" w:rsidRDefault="0036674A">
            <w:pPr>
              <w:pStyle w:val="ConsPlusNormal"/>
            </w:pPr>
            <w:r>
              <w:t>Наименование заявителя</w:t>
            </w:r>
          </w:p>
        </w:tc>
        <w:tc>
          <w:tcPr>
            <w:tcW w:w="3175" w:type="dxa"/>
            <w:gridSpan w:val="2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812" w:type="dxa"/>
            <w:gridSpan w:val="7"/>
          </w:tcPr>
          <w:p w:rsidR="0036674A" w:rsidRDefault="0036674A">
            <w:pPr>
              <w:pStyle w:val="ConsPlusNormal"/>
            </w:pPr>
            <w:r>
              <w:t>Описание основных видов деятельности заявителя</w:t>
            </w:r>
          </w:p>
        </w:tc>
        <w:tc>
          <w:tcPr>
            <w:tcW w:w="3175" w:type="dxa"/>
            <w:gridSpan w:val="2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812" w:type="dxa"/>
            <w:gridSpan w:val="7"/>
          </w:tcPr>
          <w:p w:rsidR="0036674A" w:rsidRDefault="0036674A">
            <w:pPr>
              <w:pStyle w:val="ConsPlusNormal"/>
            </w:pPr>
            <w:r>
              <w:t>Телефон с кодом города (с указанием мобильного телефона) заявителя</w:t>
            </w:r>
          </w:p>
        </w:tc>
        <w:tc>
          <w:tcPr>
            <w:tcW w:w="3175" w:type="dxa"/>
            <w:gridSpan w:val="2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812" w:type="dxa"/>
            <w:gridSpan w:val="7"/>
          </w:tcPr>
          <w:p w:rsidR="0036674A" w:rsidRDefault="0036674A">
            <w:pPr>
              <w:pStyle w:val="ConsPlusNormal"/>
            </w:pPr>
            <w:r>
              <w:t>E-mail заявителя</w:t>
            </w:r>
          </w:p>
        </w:tc>
        <w:tc>
          <w:tcPr>
            <w:tcW w:w="3175" w:type="dxa"/>
            <w:gridSpan w:val="2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812" w:type="dxa"/>
            <w:gridSpan w:val="7"/>
          </w:tcPr>
          <w:p w:rsidR="0036674A" w:rsidRDefault="0036674A">
            <w:pPr>
              <w:pStyle w:val="ConsPlusNormal"/>
            </w:pPr>
            <w:r>
              <w:t>Почтовый адрес заявителя</w:t>
            </w:r>
          </w:p>
        </w:tc>
        <w:tc>
          <w:tcPr>
            <w:tcW w:w="3175" w:type="dxa"/>
            <w:gridSpan w:val="2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812" w:type="dxa"/>
            <w:gridSpan w:val="7"/>
          </w:tcPr>
          <w:p w:rsidR="0036674A" w:rsidRDefault="0036674A">
            <w:pPr>
              <w:pStyle w:val="ConsPlusNormal"/>
            </w:pPr>
            <w:r>
              <w:t>Запрашиваемая сумма (руб.)</w:t>
            </w:r>
          </w:p>
        </w:tc>
        <w:tc>
          <w:tcPr>
            <w:tcW w:w="3175" w:type="dxa"/>
            <w:gridSpan w:val="2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812" w:type="dxa"/>
            <w:gridSpan w:val="7"/>
          </w:tcPr>
          <w:p w:rsidR="0036674A" w:rsidRDefault="0036674A">
            <w:pPr>
              <w:pStyle w:val="ConsPlusNormal"/>
            </w:pPr>
            <w:r>
              <w:t>Имеющаяся сумма (руб.)</w:t>
            </w:r>
          </w:p>
        </w:tc>
        <w:tc>
          <w:tcPr>
            <w:tcW w:w="3175" w:type="dxa"/>
            <w:gridSpan w:val="2"/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il"/>
            <w:right w:val="nil"/>
            <w:insideH w:val="nil"/>
          </w:tblBorders>
        </w:tblPrEx>
        <w:tc>
          <w:tcPr>
            <w:tcW w:w="8987" w:type="dxa"/>
            <w:gridSpan w:val="9"/>
            <w:tcBorders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il"/>
            <w:right w:val="nil"/>
            <w:insideH w:val="nil"/>
          </w:tblBorders>
        </w:tblPrEx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  <w:r>
              <w:t>Руководитель заявителя:</w:t>
            </w:r>
          </w:p>
        </w:tc>
      </w:tr>
      <w:tr w:rsidR="0036674A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138" w:type="dxa"/>
            <w:gridSpan w:val="3"/>
            <w:tcBorders>
              <w:top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1938" w:type="dxa"/>
            <w:gridSpan w:val="2"/>
            <w:tcBorders>
              <w:top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138" w:type="dxa"/>
            <w:gridSpan w:val="3"/>
            <w:tcBorders>
              <w:bottom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1938" w:type="dxa"/>
            <w:gridSpan w:val="2"/>
            <w:tcBorders>
              <w:bottom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bottom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(Ф.И.О.)</w:t>
            </w:r>
          </w:p>
        </w:tc>
      </w:tr>
      <w:tr w:rsidR="0036674A">
        <w:tblPrEx>
          <w:tblBorders>
            <w:left w:val="nil"/>
            <w:right w:val="nil"/>
            <w:insideH w:val="nil"/>
          </w:tblBorders>
        </w:tblPrEx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il"/>
            <w:right w:val="nil"/>
            <w:insideH w:val="nil"/>
          </w:tblBorders>
        </w:tblPrEx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  <w:r>
              <w:t>М.П.</w:t>
            </w:r>
          </w:p>
        </w:tc>
      </w:tr>
      <w:tr w:rsidR="0036674A">
        <w:tblPrEx>
          <w:tblBorders>
            <w:left w:val="nil"/>
            <w:right w:val="nil"/>
            <w:insideH w:val="nil"/>
          </w:tblBorders>
        </w:tblPrEx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il"/>
            <w:right w:val="nil"/>
            <w:insideH w:val="nil"/>
          </w:tblBorders>
        </w:tblPrEx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jc w:val="center"/>
              <w:outlineLvl w:val="2"/>
            </w:pPr>
            <w:r>
              <w:t>Содержание проекта</w:t>
            </w:r>
          </w:p>
        </w:tc>
      </w:tr>
      <w:tr w:rsidR="0036674A">
        <w:tblPrEx>
          <w:tblBorders>
            <w:left w:val="nil"/>
            <w:right w:val="nil"/>
            <w:insideH w:val="nil"/>
          </w:tblBorders>
        </w:tblPrEx>
        <w:tc>
          <w:tcPr>
            <w:tcW w:w="8987" w:type="dxa"/>
            <w:gridSpan w:val="9"/>
            <w:tcBorders>
              <w:top w:val="nil"/>
              <w:left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1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Описание актуальности проекта:</w:t>
            </w:r>
          </w:p>
        </w:tc>
      </w:tr>
      <w:tr w:rsidR="0036674A">
        <w:tblPrEx>
          <w:tblBorders>
            <w:left w:val="nil"/>
            <w:right w:val="nil"/>
            <w:insideV w:val="nil"/>
          </w:tblBorders>
        </w:tblPrEx>
        <w:tc>
          <w:tcPr>
            <w:tcW w:w="540" w:type="dxa"/>
          </w:tcPr>
          <w:p w:rsidR="0036674A" w:rsidRDefault="0036674A">
            <w:pPr>
              <w:pStyle w:val="ConsPlusNormal"/>
            </w:pP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2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Целевая аудитория:</w:t>
            </w:r>
          </w:p>
        </w:tc>
      </w:tr>
      <w:tr w:rsidR="0036674A">
        <w:tblPrEx>
          <w:tblBorders>
            <w:left w:val="nil"/>
            <w:right w:val="nil"/>
            <w:insideV w:val="nil"/>
          </w:tblBorders>
        </w:tblPrEx>
        <w:tc>
          <w:tcPr>
            <w:tcW w:w="540" w:type="dxa"/>
          </w:tcPr>
          <w:p w:rsidR="0036674A" w:rsidRDefault="0036674A">
            <w:pPr>
              <w:pStyle w:val="ConsPlusNormal"/>
            </w:pP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3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Цели и задачи проекта:</w:t>
            </w:r>
          </w:p>
        </w:tc>
      </w:tr>
      <w:tr w:rsidR="0036674A">
        <w:tblPrEx>
          <w:tblBorders>
            <w:left w:val="nil"/>
            <w:right w:val="nil"/>
            <w:insideV w:val="nil"/>
          </w:tblBorders>
        </w:tblPrEx>
        <w:tc>
          <w:tcPr>
            <w:tcW w:w="540" w:type="dxa"/>
          </w:tcPr>
          <w:p w:rsidR="0036674A" w:rsidRDefault="0036674A">
            <w:pPr>
              <w:pStyle w:val="ConsPlusNormal"/>
            </w:pP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4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Этапы реализации проекта:</w:t>
            </w:r>
          </w:p>
        </w:tc>
      </w:tr>
      <w:tr w:rsidR="0036674A">
        <w:tblPrEx>
          <w:tblBorders>
            <w:left w:val="nil"/>
            <w:right w:val="nil"/>
            <w:insideV w:val="nil"/>
          </w:tblBorders>
        </w:tblPrEx>
        <w:tc>
          <w:tcPr>
            <w:tcW w:w="540" w:type="dxa"/>
          </w:tcPr>
          <w:p w:rsidR="0036674A" w:rsidRDefault="0036674A">
            <w:pPr>
              <w:pStyle w:val="ConsPlusNormal"/>
            </w:pP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5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Рабочий план реализации проекта:</w:t>
            </w: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98" w:type="dxa"/>
            <w:gridSpan w:val="2"/>
          </w:tcPr>
          <w:p w:rsidR="0036674A" w:rsidRDefault="0036674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965" w:type="dxa"/>
            <w:gridSpan w:val="2"/>
          </w:tcPr>
          <w:p w:rsidR="0036674A" w:rsidRDefault="0036674A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192" w:type="dxa"/>
            <w:gridSpan w:val="3"/>
          </w:tcPr>
          <w:p w:rsidR="0036674A" w:rsidRDefault="0036674A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692" w:type="dxa"/>
          </w:tcPr>
          <w:p w:rsidR="0036674A" w:rsidRDefault="003667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598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1965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2192" w:type="dxa"/>
            <w:gridSpan w:val="3"/>
          </w:tcPr>
          <w:p w:rsidR="0036674A" w:rsidRDefault="0036674A">
            <w:pPr>
              <w:pStyle w:val="ConsPlusNormal"/>
            </w:pPr>
          </w:p>
        </w:tc>
        <w:tc>
          <w:tcPr>
            <w:tcW w:w="1692" w:type="dxa"/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il"/>
            <w:right w:val="nil"/>
            <w:insideV w:val="nil"/>
          </w:tblBorders>
        </w:tblPrEx>
        <w:tc>
          <w:tcPr>
            <w:tcW w:w="540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598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1965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2192" w:type="dxa"/>
            <w:gridSpan w:val="3"/>
          </w:tcPr>
          <w:p w:rsidR="0036674A" w:rsidRDefault="0036674A">
            <w:pPr>
              <w:pStyle w:val="ConsPlusNormal"/>
            </w:pPr>
          </w:p>
        </w:tc>
        <w:tc>
          <w:tcPr>
            <w:tcW w:w="1692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6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Кадровое обеспечение проекта:</w:t>
            </w:r>
          </w:p>
        </w:tc>
      </w:tr>
      <w:tr w:rsidR="0036674A">
        <w:tblPrEx>
          <w:tblBorders>
            <w:left w:val="nil"/>
            <w:right w:val="nil"/>
            <w:insideV w:val="nil"/>
          </w:tblBorders>
        </w:tblPrEx>
        <w:tc>
          <w:tcPr>
            <w:tcW w:w="540" w:type="dxa"/>
          </w:tcPr>
          <w:p w:rsidR="0036674A" w:rsidRDefault="0036674A">
            <w:pPr>
              <w:pStyle w:val="ConsPlusNormal"/>
            </w:pP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7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Привлеченные партнеры для реализации проекта:</w:t>
            </w:r>
          </w:p>
        </w:tc>
      </w:tr>
      <w:tr w:rsidR="0036674A">
        <w:tblPrEx>
          <w:tblBorders>
            <w:left w:val="nil"/>
            <w:right w:val="nil"/>
            <w:insideV w:val="nil"/>
          </w:tblBorders>
        </w:tblPrEx>
        <w:tc>
          <w:tcPr>
            <w:tcW w:w="540" w:type="dxa"/>
          </w:tcPr>
          <w:p w:rsidR="0036674A" w:rsidRDefault="0036674A">
            <w:pPr>
              <w:pStyle w:val="ConsPlusNormal"/>
            </w:pP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8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Ожидаемые результаты проекта:</w:t>
            </w:r>
          </w:p>
        </w:tc>
      </w:tr>
      <w:tr w:rsidR="0036674A">
        <w:tc>
          <w:tcPr>
            <w:tcW w:w="2699" w:type="dxa"/>
            <w:gridSpan w:val="2"/>
          </w:tcPr>
          <w:p w:rsidR="0036674A" w:rsidRDefault="0036674A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3113" w:type="dxa"/>
            <w:gridSpan w:val="5"/>
          </w:tcPr>
          <w:p w:rsidR="0036674A" w:rsidRDefault="0036674A">
            <w:pPr>
              <w:pStyle w:val="ConsPlusNormal"/>
              <w:jc w:val="center"/>
            </w:pPr>
            <w:r>
              <w:t>Показатели эффективности</w:t>
            </w:r>
          </w:p>
        </w:tc>
        <w:tc>
          <w:tcPr>
            <w:tcW w:w="3175" w:type="dxa"/>
            <w:gridSpan w:val="2"/>
          </w:tcPr>
          <w:p w:rsidR="0036674A" w:rsidRDefault="0036674A">
            <w:pPr>
              <w:pStyle w:val="ConsPlusNormal"/>
              <w:jc w:val="center"/>
            </w:pPr>
            <w:r>
              <w:t>Источники получения данных</w:t>
            </w:r>
          </w:p>
        </w:tc>
      </w:tr>
      <w:tr w:rsidR="0036674A">
        <w:tc>
          <w:tcPr>
            <w:tcW w:w="2699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3113" w:type="dxa"/>
            <w:gridSpan w:val="5"/>
          </w:tcPr>
          <w:p w:rsidR="0036674A" w:rsidRDefault="0036674A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il"/>
            <w:right w:val="nil"/>
          </w:tblBorders>
        </w:tblPrEx>
        <w:tc>
          <w:tcPr>
            <w:tcW w:w="8987" w:type="dxa"/>
            <w:gridSpan w:val="9"/>
            <w:tcBorders>
              <w:left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Риски проекта:</w:t>
            </w: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63" w:type="dxa"/>
            <w:gridSpan w:val="4"/>
          </w:tcPr>
          <w:p w:rsidR="0036674A" w:rsidRDefault="0036674A">
            <w:pPr>
              <w:pStyle w:val="ConsPlusNormal"/>
              <w:jc w:val="center"/>
            </w:pPr>
            <w:r>
              <w:t>Риски проекта</w:t>
            </w:r>
          </w:p>
        </w:tc>
        <w:tc>
          <w:tcPr>
            <w:tcW w:w="3884" w:type="dxa"/>
            <w:gridSpan w:val="4"/>
          </w:tcPr>
          <w:p w:rsidR="0036674A" w:rsidRDefault="0036674A">
            <w:pPr>
              <w:pStyle w:val="ConsPlusNormal"/>
              <w:jc w:val="center"/>
            </w:pPr>
            <w:r>
              <w:t>Пути преодоления</w:t>
            </w: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1</w:t>
            </w:r>
          </w:p>
        </w:tc>
        <w:tc>
          <w:tcPr>
            <w:tcW w:w="4563" w:type="dxa"/>
            <w:gridSpan w:val="4"/>
          </w:tcPr>
          <w:p w:rsidR="0036674A" w:rsidRDefault="0036674A">
            <w:pPr>
              <w:pStyle w:val="ConsPlusNormal"/>
            </w:pPr>
          </w:p>
        </w:tc>
        <w:tc>
          <w:tcPr>
            <w:tcW w:w="3884" w:type="dxa"/>
            <w:gridSpan w:val="4"/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il"/>
            <w:right w:val="nil"/>
          </w:tblBorders>
        </w:tblPrEx>
        <w:tc>
          <w:tcPr>
            <w:tcW w:w="8987" w:type="dxa"/>
            <w:gridSpan w:val="9"/>
            <w:tcBorders>
              <w:left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40" w:type="dxa"/>
          </w:tcPr>
          <w:p w:rsidR="0036674A" w:rsidRDefault="0036674A">
            <w:pPr>
              <w:pStyle w:val="ConsPlusNormal"/>
            </w:pPr>
            <w:r>
              <w:t>10</w:t>
            </w:r>
          </w:p>
        </w:tc>
        <w:tc>
          <w:tcPr>
            <w:tcW w:w="8447" w:type="dxa"/>
            <w:gridSpan w:val="8"/>
          </w:tcPr>
          <w:p w:rsidR="0036674A" w:rsidRDefault="0036674A">
            <w:pPr>
              <w:pStyle w:val="ConsPlusNormal"/>
            </w:pPr>
            <w:r>
              <w:t>Бюджет проекта, комментарии к бюджету:</w:t>
            </w: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center"/>
        <w:outlineLvl w:val="2"/>
      </w:pPr>
      <w:r>
        <w:t>Смета расходов по проекту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699"/>
        <w:gridCol w:w="1531"/>
        <w:gridCol w:w="1417"/>
      </w:tblGrid>
      <w:tr w:rsidR="0036674A">
        <w:tc>
          <w:tcPr>
            <w:tcW w:w="4252" w:type="dxa"/>
          </w:tcPr>
          <w:p w:rsidR="0036674A" w:rsidRDefault="0036674A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531" w:type="dxa"/>
          </w:tcPr>
          <w:p w:rsidR="0036674A" w:rsidRDefault="0036674A">
            <w:pPr>
              <w:pStyle w:val="ConsPlusNormal"/>
              <w:jc w:val="center"/>
            </w:pPr>
            <w:r>
              <w:t>Вклад из других источников, рублей</w:t>
            </w:r>
          </w:p>
        </w:tc>
        <w:tc>
          <w:tcPr>
            <w:tcW w:w="1417" w:type="dxa"/>
          </w:tcPr>
          <w:p w:rsidR="0036674A" w:rsidRDefault="0036674A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6674A" w:rsidRDefault="003667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6674A" w:rsidRDefault="0036674A">
            <w:pPr>
              <w:pStyle w:val="ConsPlusNormal"/>
              <w:jc w:val="center"/>
            </w:pPr>
            <w:r>
              <w:t>4</w:t>
            </w: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</w:pPr>
            <w:r>
              <w:t>Заработная плата и гонорары (включая налоги) (не более 30%)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31" w:type="dxa"/>
          </w:tcPr>
          <w:p w:rsidR="0036674A" w:rsidRDefault="0036674A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417" w:type="dxa"/>
          </w:tcPr>
          <w:p w:rsidR="0036674A" w:rsidRDefault="0036674A">
            <w:pPr>
              <w:pStyle w:val="ConsPlusNormal"/>
              <w:jc w:val="center"/>
            </w:pPr>
            <w:r>
              <w:t>00,00</w:t>
            </w: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</w:pPr>
            <w:r>
              <w:t>Аренда помещений и оборудования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53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41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</w:pPr>
            <w:r>
              <w:t>Командировочные и транспортные расходы (не более 30%)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53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41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</w:pPr>
            <w:r>
              <w:t>Приобретение оборудования, иных товаров (не более 30%)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53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41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</w:pPr>
            <w:r>
              <w:t>Расходные материалы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53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41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</w:pPr>
            <w:r>
              <w:t>Расходы на связь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53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41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</w:pPr>
            <w:r>
              <w:t>Оплата услуг сторонних организаций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53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41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</w:pPr>
            <w:r>
              <w:t>Накладные расходы организации, возникающие в ходе реализации проекта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53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41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252" w:type="dxa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1699" w:type="dxa"/>
          </w:tcPr>
          <w:p w:rsidR="0036674A" w:rsidRDefault="0036674A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31" w:type="dxa"/>
          </w:tcPr>
          <w:p w:rsidR="0036674A" w:rsidRDefault="0036674A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417" w:type="dxa"/>
          </w:tcPr>
          <w:p w:rsidR="0036674A" w:rsidRDefault="0036674A">
            <w:pPr>
              <w:pStyle w:val="ConsPlusNormal"/>
              <w:jc w:val="center"/>
            </w:pPr>
            <w:r>
              <w:t>00,00</w:t>
            </w: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center"/>
        <w:outlineLvl w:val="2"/>
      </w:pPr>
      <w:r>
        <w:t>Детализированная смета расходов</w:t>
      </w: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left="540"/>
        <w:jc w:val="both"/>
      </w:pPr>
      <w:r>
        <w:t>1. Заработная плата и гонорары: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74"/>
        <w:gridCol w:w="1644"/>
        <w:gridCol w:w="1814"/>
        <w:gridCol w:w="1384"/>
        <w:gridCol w:w="1247"/>
      </w:tblGrid>
      <w:tr w:rsidR="0036674A">
        <w:tc>
          <w:tcPr>
            <w:tcW w:w="1417" w:type="dxa"/>
          </w:tcPr>
          <w:p w:rsidR="0036674A" w:rsidRDefault="0036674A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1474" w:type="dxa"/>
          </w:tcPr>
          <w:p w:rsidR="0036674A" w:rsidRDefault="0036674A">
            <w:pPr>
              <w:pStyle w:val="ConsPlusNormal"/>
              <w:jc w:val="center"/>
            </w:pPr>
            <w:r>
              <w:t>Месячная (дневная, почасовая) ставка, рублей</w:t>
            </w:r>
          </w:p>
        </w:tc>
        <w:tc>
          <w:tcPr>
            <w:tcW w:w="1644" w:type="dxa"/>
          </w:tcPr>
          <w:p w:rsidR="0036674A" w:rsidRDefault="0036674A">
            <w:pPr>
              <w:pStyle w:val="ConsPlusNormal"/>
              <w:jc w:val="center"/>
            </w:pPr>
            <w:r>
              <w:t>Количество месяцев (дней, часов)</w:t>
            </w:r>
          </w:p>
        </w:tc>
        <w:tc>
          <w:tcPr>
            <w:tcW w:w="1814" w:type="dxa"/>
          </w:tcPr>
          <w:p w:rsidR="0036674A" w:rsidRDefault="0036674A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384" w:type="dxa"/>
          </w:tcPr>
          <w:p w:rsidR="0036674A" w:rsidRDefault="0036674A">
            <w:pPr>
              <w:pStyle w:val="ConsPlusNormal"/>
              <w:jc w:val="center"/>
            </w:pPr>
            <w:r>
              <w:t>Вклад из других источников, рублей</w:t>
            </w:r>
          </w:p>
        </w:tc>
        <w:tc>
          <w:tcPr>
            <w:tcW w:w="1247" w:type="dxa"/>
          </w:tcPr>
          <w:p w:rsidR="0036674A" w:rsidRDefault="0036674A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36674A">
        <w:tc>
          <w:tcPr>
            <w:tcW w:w="1417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47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64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81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3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24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1417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47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64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81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3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24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1417" w:type="dxa"/>
          </w:tcPr>
          <w:p w:rsidR="0036674A" w:rsidRDefault="0036674A">
            <w:pPr>
              <w:pStyle w:val="ConsPlusNormal"/>
            </w:pPr>
            <w:r>
              <w:t>...</w:t>
            </w:r>
          </w:p>
        </w:tc>
        <w:tc>
          <w:tcPr>
            <w:tcW w:w="147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64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81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3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24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535" w:type="dxa"/>
            <w:gridSpan w:val="3"/>
          </w:tcPr>
          <w:p w:rsidR="0036674A" w:rsidRDefault="0036674A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3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24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535" w:type="dxa"/>
            <w:gridSpan w:val="3"/>
          </w:tcPr>
          <w:p w:rsidR="0036674A" w:rsidRDefault="0036674A">
            <w:pPr>
              <w:pStyle w:val="ConsPlusNormal"/>
            </w:pPr>
            <w:r>
              <w:t>Выплаты во внебюджетные фонды</w:t>
            </w:r>
          </w:p>
        </w:tc>
        <w:tc>
          <w:tcPr>
            <w:tcW w:w="181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3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24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535" w:type="dxa"/>
            <w:gridSpan w:val="3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3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247" w:type="dxa"/>
          </w:tcPr>
          <w:p w:rsidR="0036674A" w:rsidRDefault="0036674A">
            <w:pPr>
              <w:pStyle w:val="ConsPlusNormal"/>
            </w:pP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>2. Аренда помещений и оборудования: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984"/>
        <w:gridCol w:w="1985"/>
        <w:gridCol w:w="1701"/>
      </w:tblGrid>
      <w:tr w:rsidR="0036674A">
        <w:tc>
          <w:tcPr>
            <w:tcW w:w="334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4" w:type="dxa"/>
          </w:tcPr>
          <w:p w:rsidR="0036674A" w:rsidRDefault="0036674A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5" w:type="dxa"/>
          </w:tcPr>
          <w:p w:rsidR="0036674A" w:rsidRDefault="0036674A">
            <w:pPr>
              <w:pStyle w:val="ConsPlusNormal"/>
              <w:jc w:val="center"/>
            </w:pPr>
            <w:r>
              <w:t>Вклад из других источников, рублей</w:t>
            </w:r>
          </w:p>
        </w:tc>
        <w:tc>
          <w:tcPr>
            <w:tcW w:w="1701" w:type="dxa"/>
          </w:tcPr>
          <w:p w:rsidR="0036674A" w:rsidRDefault="0036674A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36674A">
        <w:tc>
          <w:tcPr>
            <w:tcW w:w="334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34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345" w:type="dxa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>3. Командировочные и транспортные расходы: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1984"/>
        <w:gridCol w:w="1701"/>
      </w:tblGrid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4" w:type="dxa"/>
          </w:tcPr>
          <w:p w:rsidR="0036674A" w:rsidRDefault="0036674A">
            <w:pPr>
              <w:pStyle w:val="ConsPlusNormal"/>
              <w:jc w:val="center"/>
            </w:pPr>
            <w:r>
              <w:t>Вклад из других источников, рублей</w:t>
            </w:r>
          </w:p>
        </w:tc>
        <w:tc>
          <w:tcPr>
            <w:tcW w:w="1701" w:type="dxa"/>
          </w:tcPr>
          <w:p w:rsidR="0036674A" w:rsidRDefault="0036674A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4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>4. Приобретение оборудования: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1985"/>
        <w:gridCol w:w="1701"/>
      </w:tblGrid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5" w:type="dxa"/>
          </w:tcPr>
          <w:p w:rsidR="0036674A" w:rsidRDefault="0036674A">
            <w:pPr>
              <w:pStyle w:val="ConsPlusNormal"/>
              <w:jc w:val="center"/>
            </w:pPr>
            <w:r>
              <w:t>Вклад из других источников, рублей</w:t>
            </w:r>
          </w:p>
        </w:tc>
        <w:tc>
          <w:tcPr>
            <w:tcW w:w="1701" w:type="dxa"/>
          </w:tcPr>
          <w:p w:rsidR="0036674A" w:rsidRDefault="0036674A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>5. Расходные материалы: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1985"/>
        <w:gridCol w:w="1701"/>
      </w:tblGrid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5" w:type="dxa"/>
          </w:tcPr>
          <w:p w:rsidR="0036674A" w:rsidRDefault="0036674A">
            <w:pPr>
              <w:pStyle w:val="ConsPlusNormal"/>
              <w:jc w:val="center"/>
            </w:pPr>
            <w:r>
              <w:t>Вклад из других источников, рублей</w:t>
            </w:r>
          </w:p>
        </w:tc>
        <w:tc>
          <w:tcPr>
            <w:tcW w:w="1701" w:type="dxa"/>
          </w:tcPr>
          <w:p w:rsidR="0036674A" w:rsidRDefault="0036674A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>6. Расходы на связь: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1985"/>
        <w:gridCol w:w="1701"/>
      </w:tblGrid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5" w:type="dxa"/>
          </w:tcPr>
          <w:p w:rsidR="0036674A" w:rsidRDefault="0036674A">
            <w:pPr>
              <w:pStyle w:val="ConsPlusNormal"/>
              <w:jc w:val="center"/>
            </w:pPr>
            <w:r>
              <w:t>Вклад из других источников, рублей</w:t>
            </w:r>
          </w:p>
        </w:tc>
        <w:tc>
          <w:tcPr>
            <w:tcW w:w="1701" w:type="dxa"/>
          </w:tcPr>
          <w:p w:rsidR="0036674A" w:rsidRDefault="0036674A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>7. Оплата услуг сторонних организаций: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1985"/>
        <w:gridCol w:w="1701"/>
      </w:tblGrid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5" w:type="dxa"/>
          </w:tcPr>
          <w:p w:rsidR="0036674A" w:rsidRDefault="0036674A">
            <w:pPr>
              <w:pStyle w:val="ConsPlusNormal"/>
              <w:jc w:val="center"/>
            </w:pPr>
            <w:r>
              <w:t>Вклад из других источников, рублей</w:t>
            </w:r>
          </w:p>
        </w:tc>
        <w:tc>
          <w:tcPr>
            <w:tcW w:w="1701" w:type="dxa"/>
          </w:tcPr>
          <w:p w:rsidR="0036674A" w:rsidRDefault="0036674A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ind w:firstLine="540"/>
        <w:jc w:val="both"/>
      </w:pPr>
      <w:r>
        <w:t>8. Накладные расходы организации, возникающие в ходе реализации проекта: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2640"/>
        <w:gridCol w:w="340"/>
        <w:gridCol w:w="1816"/>
        <w:gridCol w:w="483"/>
        <w:gridCol w:w="1502"/>
        <w:gridCol w:w="1701"/>
      </w:tblGrid>
      <w:tr w:rsidR="0036674A">
        <w:tc>
          <w:tcPr>
            <w:tcW w:w="3288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2156" w:type="dxa"/>
            <w:gridSpan w:val="2"/>
          </w:tcPr>
          <w:p w:rsidR="0036674A" w:rsidRDefault="0036674A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5" w:type="dxa"/>
            <w:gridSpan w:val="2"/>
          </w:tcPr>
          <w:p w:rsidR="0036674A" w:rsidRDefault="0036674A">
            <w:pPr>
              <w:pStyle w:val="ConsPlusNormal"/>
              <w:jc w:val="center"/>
            </w:pPr>
            <w:r>
              <w:t>Вклад из других источников, рублей</w:t>
            </w:r>
          </w:p>
        </w:tc>
        <w:tc>
          <w:tcPr>
            <w:tcW w:w="1701" w:type="dxa"/>
          </w:tcPr>
          <w:p w:rsidR="0036674A" w:rsidRDefault="0036674A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36674A">
        <w:tc>
          <w:tcPr>
            <w:tcW w:w="3288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2156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2156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  <w:gridSpan w:val="2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2156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36674A" w:rsidRDefault="0036674A">
            <w:pPr>
              <w:pStyle w:val="ConsPlusNormal"/>
            </w:pPr>
          </w:p>
        </w:tc>
        <w:tc>
          <w:tcPr>
            <w:tcW w:w="1701" w:type="dxa"/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130" w:type="dxa"/>
            <w:gridSpan w:val="7"/>
            <w:tcBorders>
              <w:left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648" w:type="dxa"/>
          </w:tcPr>
          <w:p w:rsidR="0036674A" w:rsidRDefault="0036674A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8482" w:type="dxa"/>
            <w:gridSpan w:val="6"/>
          </w:tcPr>
          <w:p w:rsidR="0036674A" w:rsidRDefault="0036674A">
            <w:pPr>
              <w:pStyle w:val="ConsPlusNormal"/>
            </w:pPr>
            <w:r>
              <w:t>Список приложений к проекту:</w:t>
            </w:r>
          </w:p>
        </w:tc>
      </w:tr>
      <w:tr w:rsidR="0036674A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130" w:type="dxa"/>
            <w:gridSpan w:val="7"/>
            <w:tcBorders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  <w:r>
              <w:t>Руководитель заявителя:</w:t>
            </w:r>
          </w:p>
        </w:tc>
      </w:tr>
      <w:tr w:rsidR="0036674A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3288" w:type="dxa"/>
            <w:gridSpan w:val="2"/>
            <w:tcBorders>
              <w:top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1816" w:type="dxa"/>
            <w:tcBorders>
              <w:top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203" w:type="dxa"/>
            <w:gridSpan w:val="2"/>
            <w:tcBorders>
              <w:top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3288" w:type="dxa"/>
            <w:gridSpan w:val="2"/>
            <w:tcBorders>
              <w:bottom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1816" w:type="dxa"/>
            <w:tcBorders>
              <w:bottom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203" w:type="dxa"/>
            <w:gridSpan w:val="2"/>
            <w:tcBorders>
              <w:bottom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(Ф.И.О.)</w:t>
            </w:r>
          </w:p>
        </w:tc>
      </w:tr>
      <w:tr w:rsidR="0036674A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  <w:r>
              <w:t>М.П.</w:t>
            </w: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right"/>
        <w:outlineLvl w:val="1"/>
      </w:pPr>
      <w:r>
        <w:t>Приложение N 3</w:t>
      </w:r>
    </w:p>
    <w:p w:rsidR="0036674A" w:rsidRDefault="0036674A">
      <w:pPr>
        <w:pStyle w:val="ConsPlusNormal"/>
        <w:jc w:val="right"/>
      </w:pPr>
      <w:r>
        <w:t>к Порядку</w:t>
      </w:r>
    </w:p>
    <w:p w:rsidR="0036674A" w:rsidRDefault="0036674A">
      <w:pPr>
        <w:pStyle w:val="ConsPlusNormal"/>
        <w:jc w:val="right"/>
      </w:pPr>
      <w:r>
        <w:t>предоставления субсидий</w:t>
      </w:r>
    </w:p>
    <w:p w:rsidR="0036674A" w:rsidRDefault="0036674A">
      <w:pPr>
        <w:pStyle w:val="ConsPlusNormal"/>
        <w:jc w:val="right"/>
      </w:pPr>
      <w:r>
        <w:t>социально ориентированным</w:t>
      </w:r>
    </w:p>
    <w:p w:rsidR="0036674A" w:rsidRDefault="0036674A">
      <w:pPr>
        <w:pStyle w:val="ConsPlusNormal"/>
        <w:jc w:val="right"/>
      </w:pPr>
      <w:r>
        <w:t>некоммерческим организациям,</w:t>
      </w:r>
    </w:p>
    <w:p w:rsidR="0036674A" w:rsidRDefault="0036674A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36674A" w:rsidRDefault="0036674A">
      <w:pPr>
        <w:pStyle w:val="ConsPlusNormal"/>
        <w:jc w:val="right"/>
      </w:pPr>
      <w:r>
        <w:t>(муниципальными) учреждениями,</w:t>
      </w:r>
    </w:p>
    <w:p w:rsidR="0036674A" w:rsidRDefault="0036674A">
      <w:pPr>
        <w:pStyle w:val="ConsPlusNormal"/>
        <w:jc w:val="right"/>
      </w:pPr>
      <w:r>
        <w:t>в целях финансового обеспечения</w:t>
      </w:r>
    </w:p>
    <w:p w:rsidR="0036674A" w:rsidRDefault="0036674A">
      <w:pPr>
        <w:pStyle w:val="ConsPlusNormal"/>
        <w:jc w:val="right"/>
      </w:pPr>
      <w:r>
        <w:t>части затрат, связанных</w:t>
      </w:r>
    </w:p>
    <w:p w:rsidR="0036674A" w:rsidRDefault="0036674A">
      <w:pPr>
        <w:pStyle w:val="ConsPlusNormal"/>
        <w:jc w:val="right"/>
      </w:pPr>
      <w:r>
        <w:t>с реализацией для жителей</w:t>
      </w:r>
    </w:p>
    <w:p w:rsidR="0036674A" w:rsidRDefault="0036674A">
      <w:pPr>
        <w:pStyle w:val="ConsPlusNormal"/>
        <w:jc w:val="right"/>
      </w:pPr>
      <w:r>
        <w:t>города социальных проектов</w:t>
      </w:r>
    </w:p>
    <w:p w:rsidR="0036674A" w:rsidRDefault="0036674A">
      <w:pPr>
        <w:pStyle w:val="ConsPlusNormal"/>
        <w:jc w:val="right"/>
      </w:pPr>
      <w:r>
        <w:t>в сфере молодежной</w:t>
      </w:r>
    </w:p>
    <w:p w:rsidR="0036674A" w:rsidRDefault="0036674A">
      <w:pPr>
        <w:pStyle w:val="ConsPlusNormal"/>
        <w:jc w:val="right"/>
      </w:pPr>
      <w:r>
        <w:t>политики по направлению</w:t>
      </w:r>
    </w:p>
    <w:p w:rsidR="0036674A" w:rsidRDefault="0036674A">
      <w:pPr>
        <w:pStyle w:val="ConsPlusNormal"/>
        <w:jc w:val="right"/>
      </w:pPr>
      <w:r>
        <w:t xml:space="preserve">"Поддержка </w:t>
      </w:r>
      <w:proofErr w:type="gramStart"/>
      <w:r>
        <w:t>локальных</w:t>
      </w:r>
      <w:proofErr w:type="gramEnd"/>
    </w:p>
    <w:p w:rsidR="0036674A" w:rsidRDefault="0036674A">
      <w:pPr>
        <w:pStyle w:val="ConsPlusNormal"/>
        <w:jc w:val="right"/>
      </w:pPr>
      <w:r>
        <w:t>экспериментальных площадок"</w:t>
      </w:r>
    </w:p>
    <w:p w:rsidR="0036674A" w:rsidRDefault="003667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36674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jc w:val="center"/>
            </w:pPr>
            <w:bookmarkStart w:id="27" w:name="P695"/>
            <w:bookmarkEnd w:id="27"/>
            <w:r>
              <w:t>ОЦЕНОЧНЫЙ ЛИСТ</w:t>
            </w:r>
          </w:p>
          <w:p w:rsidR="0036674A" w:rsidRDefault="0036674A">
            <w:pPr>
              <w:pStyle w:val="ConsPlusNormal"/>
              <w:jc w:val="center"/>
            </w:pPr>
            <w:r>
              <w:t>участника конкурса, проводимого в целях финансового</w:t>
            </w:r>
          </w:p>
          <w:p w:rsidR="0036674A" w:rsidRDefault="0036674A">
            <w:pPr>
              <w:pStyle w:val="ConsPlusNormal"/>
              <w:jc w:val="center"/>
            </w:pPr>
            <w:r>
              <w:t>обеспечения части затрат, связанных с реализацией</w:t>
            </w:r>
          </w:p>
          <w:p w:rsidR="0036674A" w:rsidRDefault="0036674A">
            <w:pPr>
              <w:pStyle w:val="ConsPlusNormal"/>
              <w:jc w:val="center"/>
            </w:pPr>
            <w:r>
              <w:t>для жителей города социальных проектов в сфере молодежной</w:t>
            </w:r>
          </w:p>
          <w:p w:rsidR="0036674A" w:rsidRDefault="0036674A">
            <w:pPr>
              <w:pStyle w:val="ConsPlusNormal"/>
              <w:jc w:val="center"/>
            </w:pPr>
            <w:r>
              <w:t xml:space="preserve">политики по направлению "Поддержка </w:t>
            </w:r>
            <w:proofErr w:type="gramStart"/>
            <w:r>
              <w:t>локальных</w:t>
            </w:r>
            <w:proofErr w:type="gramEnd"/>
          </w:p>
          <w:p w:rsidR="0036674A" w:rsidRDefault="0036674A">
            <w:pPr>
              <w:pStyle w:val="ConsPlusNormal"/>
              <w:jc w:val="center"/>
            </w:pPr>
            <w:r>
              <w:t>экспериментальных площадок"</w:t>
            </w:r>
          </w:p>
        </w:tc>
      </w:tr>
      <w:tr w:rsidR="0036674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ind w:firstLine="283"/>
              <w:jc w:val="both"/>
            </w:pPr>
            <w:r>
              <w:t>Участник:</w:t>
            </w:r>
          </w:p>
          <w:p w:rsidR="0036674A" w:rsidRDefault="0036674A">
            <w:pPr>
              <w:pStyle w:val="ConsPlusNormal"/>
            </w:pPr>
            <w:r>
              <w:t>________________________________________________________________________.</w:t>
            </w:r>
          </w:p>
          <w:p w:rsidR="0036674A" w:rsidRDefault="0036674A">
            <w:pPr>
              <w:pStyle w:val="ConsPlusNormal"/>
            </w:pPr>
          </w:p>
          <w:p w:rsidR="0036674A" w:rsidRDefault="0036674A">
            <w:pPr>
              <w:pStyle w:val="ConsPlusNormal"/>
              <w:ind w:firstLine="283"/>
              <w:jc w:val="both"/>
            </w:pPr>
            <w:r>
              <w:t>Место реализации проекта:</w:t>
            </w:r>
          </w:p>
          <w:p w:rsidR="0036674A" w:rsidRDefault="0036674A">
            <w:pPr>
              <w:pStyle w:val="ConsPlusNormal"/>
            </w:pPr>
            <w:r>
              <w:t>________________________________________________________________________.</w:t>
            </w:r>
          </w:p>
        </w:tc>
      </w:tr>
    </w:tbl>
    <w:p w:rsidR="0036674A" w:rsidRDefault="003667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329"/>
        <w:gridCol w:w="1624"/>
        <w:gridCol w:w="1587"/>
      </w:tblGrid>
      <w:tr w:rsidR="0036674A">
        <w:tc>
          <w:tcPr>
            <w:tcW w:w="454" w:type="dxa"/>
          </w:tcPr>
          <w:p w:rsidR="0036674A" w:rsidRDefault="003667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36674A" w:rsidRDefault="0036674A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624" w:type="dxa"/>
          </w:tcPr>
          <w:p w:rsidR="0036674A" w:rsidRDefault="0036674A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587" w:type="dxa"/>
          </w:tcPr>
          <w:p w:rsidR="0036674A" w:rsidRDefault="0036674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6674A">
        <w:tc>
          <w:tcPr>
            <w:tcW w:w="454" w:type="dxa"/>
          </w:tcPr>
          <w:p w:rsidR="0036674A" w:rsidRDefault="0036674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29" w:type="dxa"/>
          </w:tcPr>
          <w:p w:rsidR="0036674A" w:rsidRDefault="003667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36674A" w:rsidRDefault="003667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6674A" w:rsidRDefault="0036674A">
            <w:pPr>
              <w:pStyle w:val="ConsPlusNormal"/>
              <w:jc w:val="center"/>
            </w:pPr>
            <w:r>
              <w:t>4</w:t>
            </w:r>
          </w:p>
        </w:tc>
      </w:tr>
      <w:tr w:rsidR="0036674A">
        <w:tc>
          <w:tcPr>
            <w:tcW w:w="454" w:type="dxa"/>
          </w:tcPr>
          <w:p w:rsidR="0036674A" w:rsidRDefault="0036674A">
            <w:pPr>
              <w:pStyle w:val="ConsPlusNormal"/>
            </w:pPr>
            <w:r>
              <w:t>1</w:t>
            </w:r>
          </w:p>
        </w:tc>
        <w:tc>
          <w:tcPr>
            <w:tcW w:w="5329" w:type="dxa"/>
          </w:tcPr>
          <w:p w:rsidR="0036674A" w:rsidRDefault="0036674A">
            <w:pPr>
              <w:pStyle w:val="ConsPlusNormal"/>
            </w:pPr>
            <w:r>
              <w:t>Актуальность проекта.</w:t>
            </w:r>
          </w:p>
          <w:p w:rsidR="0036674A" w:rsidRDefault="0036674A">
            <w:pPr>
              <w:pStyle w:val="ConsPlusNormal"/>
            </w:pPr>
            <w:r>
              <w:t>При оценке проекта по критерию учитывается представленный анализ проблемы, на решение которой направлен проект, содержание обоснования необходимости и значимости для города решения обозначенной проблемы</w:t>
            </w:r>
          </w:p>
        </w:tc>
        <w:tc>
          <w:tcPr>
            <w:tcW w:w="1624" w:type="dxa"/>
          </w:tcPr>
          <w:p w:rsidR="0036674A" w:rsidRDefault="003667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54" w:type="dxa"/>
          </w:tcPr>
          <w:p w:rsidR="0036674A" w:rsidRDefault="0036674A">
            <w:pPr>
              <w:pStyle w:val="ConsPlusNormal"/>
            </w:pPr>
            <w:r>
              <w:t>2</w:t>
            </w:r>
          </w:p>
        </w:tc>
        <w:tc>
          <w:tcPr>
            <w:tcW w:w="5329" w:type="dxa"/>
          </w:tcPr>
          <w:p w:rsidR="0036674A" w:rsidRDefault="0036674A">
            <w:pPr>
              <w:pStyle w:val="ConsPlusNormal"/>
            </w:pPr>
            <w:r>
              <w:t>Измеримость и конкретность ожидаемых результатов.</w:t>
            </w:r>
          </w:p>
          <w:p w:rsidR="0036674A" w:rsidRDefault="0036674A">
            <w:pPr>
              <w:pStyle w:val="ConsPlusNormal"/>
            </w:pPr>
            <w:r>
              <w:t>При оценке проекта по критерию учитывается точность обозначения временных рамок реализации проекта, описание форматов мероприятий в рамках проекта с обозначением целевой аудитории и количеством участников, что конкретно изменится в результате реализации проекта - описание созданного досугово-развлекательного пространства</w:t>
            </w:r>
          </w:p>
        </w:tc>
        <w:tc>
          <w:tcPr>
            <w:tcW w:w="1624" w:type="dxa"/>
          </w:tcPr>
          <w:p w:rsidR="0036674A" w:rsidRDefault="003667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54" w:type="dxa"/>
          </w:tcPr>
          <w:p w:rsidR="0036674A" w:rsidRDefault="0036674A">
            <w:pPr>
              <w:pStyle w:val="ConsPlusNormal"/>
            </w:pPr>
            <w:r>
              <w:t>3</w:t>
            </w:r>
          </w:p>
        </w:tc>
        <w:tc>
          <w:tcPr>
            <w:tcW w:w="5329" w:type="dxa"/>
          </w:tcPr>
          <w:p w:rsidR="0036674A" w:rsidRDefault="0036674A">
            <w:pPr>
              <w:pStyle w:val="ConsPlusNormal"/>
            </w:pPr>
            <w:r>
              <w:t>Соответствие механизмов реализации проекта ожидаемым результатам.</w:t>
            </w:r>
          </w:p>
          <w:p w:rsidR="0036674A" w:rsidRDefault="0036674A">
            <w:pPr>
              <w:pStyle w:val="ConsPlusNormal"/>
            </w:pPr>
            <w:r>
              <w:t>При оценке проекта по критерию анализируются способы, при помощи которых запланировано достижение результатов проекта, какие инструменты будут использоваться для достижения и измерения результатов проекта</w:t>
            </w:r>
          </w:p>
        </w:tc>
        <w:tc>
          <w:tcPr>
            <w:tcW w:w="1624" w:type="dxa"/>
          </w:tcPr>
          <w:p w:rsidR="0036674A" w:rsidRDefault="003667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54" w:type="dxa"/>
          </w:tcPr>
          <w:p w:rsidR="0036674A" w:rsidRDefault="0036674A">
            <w:pPr>
              <w:pStyle w:val="ConsPlusNormal"/>
            </w:pPr>
            <w:r>
              <w:t>4</w:t>
            </w:r>
          </w:p>
        </w:tc>
        <w:tc>
          <w:tcPr>
            <w:tcW w:w="5329" w:type="dxa"/>
          </w:tcPr>
          <w:p w:rsidR="0036674A" w:rsidRDefault="0036674A">
            <w:pPr>
              <w:pStyle w:val="ConsPlusNormal"/>
            </w:pPr>
            <w:r>
              <w:t>Наличие потенциальных партнеров, инвесторов в рамках реализации проекта.</w:t>
            </w:r>
          </w:p>
          <w:p w:rsidR="0036674A" w:rsidRDefault="0036674A">
            <w:pPr>
              <w:pStyle w:val="ConsPlusNormal"/>
            </w:pPr>
            <w:r>
              <w:t>Подтверждение наличия потенциальных партнеров и инвесторов осуществляется посредством писем поддержки, заключенных соглашений и т.п.</w:t>
            </w:r>
          </w:p>
        </w:tc>
        <w:tc>
          <w:tcPr>
            <w:tcW w:w="1624" w:type="dxa"/>
          </w:tcPr>
          <w:p w:rsidR="0036674A" w:rsidRDefault="003667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454" w:type="dxa"/>
          </w:tcPr>
          <w:p w:rsidR="0036674A" w:rsidRDefault="0036674A">
            <w:pPr>
              <w:pStyle w:val="ConsPlusNormal"/>
            </w:pPr>
            <w:r>
              <w:t>5</w:t>
            </w:r>
          </w:p>
        </w:tc>
        <w:tc>
          <w:tcPr>
            <w:tcW w:w="5329" w:type="dxa"/>
          </w:tcPr>
          <w:p w:rsidR="0036674A" w:rsidRDefault="0036674A">
            <w:pPr>
              <w:pStyle w:val="ConsPlusNormal"/>
            </w:pPr>
            <w:r>
              <w:t>Финансовые и организационные возможности участника конкурса для обеспечения реализации проекта.</w:t>
            </w:r>
          </w:p>
          <w:p w:rsidR="0036674A" w:rsidRDefault="0036674A">
            <w:pPr>
              <w:pStyle w:val="ConsPlusNormal"/>
            </w:pPr>
            <w:r>
              <w:t>При оценке проекта по критерию анализируется предоставленное софинансирование проекта, потенциал имеющихся финансовых и иных ресурсов заявителя, а также кадровое обеспечение проекта</w:t>
            </w:r>
          </w:p>
        </w:tc>
        <w:tc>
          <w:tcPr>
            <w:tcW w:w="1624" w:type="dxa"/>
          </w:tcPr>
          <w:p w:rsidR="0036674A" w:rsidRDefault="003667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5783" w:type="dxa"/>
            <w:gridSpan w:val="2"/>
          </w:tcPr>
          <w:p w:rsidR="0036674A" w:rsidRDefault="0036674A">
            <w:pPr>
              <w:pStyle w:val="ConsPlusNormal"/>
            </w:pPr>
            <w:r>
              <w:t>Итого</w:t>
            </w:r>
          </w:p>
        </w:tc>
        <w:tc>
          <w:tcPr>
            <w:tcW w:w="1624" w:type="dxa"/>
          </w:tcPr>
          <w:p w:rsidR="0036674A" w:rsidRDefault="003667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36674A" w:rsidRDefault="0036674A">
            <w:pPr>
              <w:pStyle w:val="ConsPlusNormal"/>
            </w:pPr>
          </w:p>
        </w:tc>
      </w:tr>
    </w:tbl>
    <w:p w:rsidR="0036674A" w:rsidRDefault="003667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40"/>
        <w:gridCol w:w="3118"/>
        <w:gridCol w:w="340"/>
        <w:gridCol w:w="1928"/>
      </w:tblGrid>
      <w:tr w:rsidR="0036674A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ind w:firstLine="283"/>
              <w:jc w:val="both"/>
            </w:pPr>
            <w:r>
              <w:t>Комментарии эксперта к смете проекта; предложения по сумме денежных средств, предоставляемых на реализацию проекта:</w:t>
            </w:r>
          </w:p>
        </w:tc>
      </w:tr>
      <w:tr w:rsidR="0036674A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4A" w:rsidRDefault="0036674A">
            <w:pPr>
              <w:pStyle w:val="ConsPlusNormal"/>
            </w:pPr>
          </w:p>
        </w:tc>
      </w:tr>
      <w:tr w:rsidR="0036674A">
        <w:tblPrEx>
          <w:tblBorders>
            <w:insideH w:val="single" w:sz="4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(должность эксперта)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(Ф.И.О. эксперта)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74A" w:rsidRDefault="0036674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jc w:val="both"/>
      </w:pPr>
    </w:p>
    <w:p w:rsidR="0036674A" w:rsidRDefault="003667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1CB" w:rsidRDefault="002541CB"/>
    <w:sectPr w:rsidR="002541CB" w:rsidSect="003F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36674A"/>
    <w:rsid w:val="00116756"/>
    <w:rsid w:val="002541CB"/>
    <w:rsid w:val="002C6B66"/>
    <w:rsid w:val="00353A83"/>
    <w:rsid w:val="0036674A"/>
    <w:rsid w:val="009C4F0C"/>
    <w:rsid w:val="00C6488E"/>
    <w:rsid w:val="00E7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7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67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67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67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67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67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67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67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6A494084CE3F729DFEEC814514A4D16122DB5F5DB1FBB56F46F893EA251A55F5428E8BF4E6B49E0A260375AC14DD9ACF2A94FE6F5A7463200DE92uEqEJ" TargetMode="External"/><Relationship Id="rId13" Type="http://schemas.openxmlformats.org/officeDocument/2006/relationships/hyperlink" Target="consultantplus://offline/ref=F6C6A494084CE3F729DFEEC814514A4D16122DB5F6D11CBA5AF46F893EA251A55F5428E8AD4E3345E3A37A3F5BD41B88EAuAq4J" TargetMode="External"/><Relationship Id="rId18" Type="http://schemas.openxmlformats.org/officeDocument/2006/relationships/hyperlink" Target="consultantplus://offline/ref=F6C6A494084CE3F729DFEEC814514A4D16122DB5F5D61CB354F16F893EA251A55F5428E8BF4E6B49E0A2643B5EC14DD9ACF2A94FE6F5A7463200DE92uEqEJ" TargetMode="External"/><Relationship Id="rId26" Type="http://schemas.openxmlformats.org/officeDocument/2006/relationships/hyperlink" Target="consultantplus://offline/ref=F6C6A494084CE3F729DFEEC814514A4D16122DB5F5D41BBB56F16F893EA251A55F5428E8AD4E3345E3A37A3F5BD41B88EAuAq4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C6A494084CE3F729DFEEC814514A4D16122DB5F5D61DB652F76F893EA251A55F5428E8BF4E6B49E0A2643F5FC14DD9ACF2A94FE6F5A7463200DE92uEqEJ" TargetMode="External"/><Relationship Id="rId34" Type="http://schemas.openxmlformats.org/officeDocument/2006/relationships/hyperlink" Target="consultantplus://offline/ref=F6C6A494084CE3F729DFF0C5023D1542111971BAFFD014E50FA369DE61F257F01F142EBFFB0A6243B4F3206A57C91896E8A6BA4EE7E9uAq4J" TargetMode="External"/><Relationship Id="rId7" Type="http://schemas.openxmlformats.org/officeDocument/2006/relationships/hyperlink" Target="consultantplus://offline/ref=F6C6A494084CE3F729DFEEC814514A4D16122DB5F5DB1FBB56F46F893EA251A55F5428E8BF4E6B49E0A16F6B0B8E4C85EBA6BA4CE6F5A5472Eu0q1J" TargetMode="External"/><Relationship Id="rId12" Type="http://schemas.openxmlformats.org/officeDocument/2006/relationships/hyperlink" Target="consultantplus://offline/ref=F6C6A494084CE3F729DFEEC814514A4D16122DB5F6D217BA56F46F893EA251A55F5428E8AD4E3345E3A37A3F5BD41B88EAuAq4J" TargetMode="External"/><Relationship Id="rId17" Type="http://schemas.openxmlformats.org/officeDocument/2006/relationships/hyperlink" Target="consultantplus://offline/ref=F6C6A494084CE3F729DFEEC814514A4D16122DB5F5D217B253F26F893EA251A55F5428E8AD4E3345E3A37A3F5BD41B88EAuAq4J" TargetMode="External"/><Relationship Id="rId25" Type="http://schemas.openxmlformats.org/officeDocument/2006/relationships/hyperlink" Target="consultantplus://offline/ref=F6C6A494084CE3F729DFEEC814514A4D16122DB5F5D717B150F26F893EA251A55F5428E8AD4E3345E3A37A3F5BD41B88EAuAq4J" TargetMode="External"/><Relationship Id="rId33" Type="http://schemas.openxmlformats.org/officeDocument/2006/relationships/hyperlink" Target="consultantplus://offline/ref=F6C6A494084CE3F729DFEEC814514A4D16122DB5F5D017B251F16F893EA251A55F5428E8AD4E3345E3A37A3F5BD41B88EAuAq4J" TargetMode="External"/><Relationship Id="rId38" Type="http://schemas.openxmlformats.org/officeDocument/2006/relationships/hyperlink" Target="consultantplus://offline/ref=F6C6A494084CE3F729DFF0C5023D1542111973BCF0DA14E50FA369DE61F257F01F142EBDFC0A6649E3A9306E1E9F148BE9B9A44DF9E9A745u2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6A494084CE3F729DFEEC814514A4D16122DB5F6DB17B453FF6F893EA251A55F5428E8AD4E3345E3A37A3F5BD41B88EAuAq4J" TargetMode="External"/><Relationship Id="rId20" Type="http://schemas.openxmlformats.org/officeDocument/2006/relationships/hyperlink" Target="consultantplus://offline/ref=F6C6A494084CE3F729DFEEC814514A4D16122DB5F5D61FB25BF66F893EA251A55F5428E8AD4E3345E3A37A3F5BD41B88EAuAq4J" TargetMode="External"/><Relationship Id="rId29" Type="http://schemas.openxmlformats.org/officeDocument/2006/relationships/hyperlink" Target="consultantplus://offline/ref=F6C6A494084CE3F729DFF0C5023D1542111B71BBF3D414E50FA369DE61F257F01F142EBDFF0E6D1CB1E6313259CB0788E9B9A64CE5uEq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6A494084CE3F729DFEEC814514A4D16122DB5F5DB1FBB56F46F893EA251A55F5428E8BF4E6B49E0A2673A52C14DD9ACF2A94FE6F5A7463200DE92uEqEJ" TargetMode="External"/><Relationship Id="rId11" Type="http://schemas.openxmlformats.org/officeDocument/2006/relationships/hyperlink" Target="consultantplus://offline/ref=F6C6A494084CE3F729DFEEC814514A4D16122DB5FED41AB75AFC328336FB5DA7585B77EDB85F6B4BE1BC643E44C8198AuEqBJ" TargetMode="External"/><Relationship Id="rId24" Type="http://schemas.openxmlformats.org/officeDocument/2006/relationships/hyperlink" Target="consultantplus://offline/ref=F6C6A494084CE3F729DFEEC814514A4D16122DB5F5D71BB253F36F893EA251A55F5428E8AD4E3345E3A37A3F5BD41B88EAuAq4J" TargetMode="External"/><Relationship Id="rId32" Type="http://schemas.openxmlformats.org/officeDocument/2006/relationships/hyperlink" Target="consultantplus://offline/ref=F6C6A494084CE3F729DFF0C5023D1542111B71BBF3D414E50FA369DE61F257F01F142EBDF80F6D1CB1E6313259CB0788E9B9A64CE5uEq8J" TargetMode="External"/><Relationship Id="rId37" Type="http://schemas.openxmlformats.org/officeDocument/2006/relationships/hyperlink" Target="consultantplus://offline/ref=F6C6A494084CE3F729DFF0C5023D1542111971BAFFD014E50FA369DE61F257F01F142EBFFB086443B4F3206A57C91896E8A6BA4EE7E9uAq4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6C6A494084CE3F729DFF0C5023D1542111971BAFFD014E50FA369DE61F257F01F142EBAFA086F43B4F3206A57C91896E8A6BA4EE7E9uAq4J" TargetMode="External"/><Relationship Id="rId15" Type="http://schemas.openxmlformats.org/officeDocument/2006/relationships/hyperlink" Target="consultantplus://offline/ref=F6C6A494084CE3F729DFEEC814514A4D16122DB5F6DA17B456F26F893EA251A55F5428E8AD4E3345E3A37A3F5BD41B88EAuAq4J" TargetMode="External"/><Relationship Id="rId23" Type="http://schemas.openxmlformats.org/officeDocument/2006/relationships/hyperlink" Target="consultantplus://offline/ref=F6C6A494084CE3F729DFEEC814514A4D16122DB5F5D71DB153F26F893EA251A55F5428E8AD4E3345E3A37A3F5BD41B88EAuAq4J" TargetMode="External"/><Relationship Id="rId28" Type="http://schemas.openxmlformats.org/officeDocument/2006/relationships/hyperlink" Target="consultantplus://offline/ref=F6C6A494084CE3F729DFEEC814514A4D16122DB5F5DA16B355F76F893EA251A55F5428E8AD4E3345E3A37A3F5BD41B88EAuAq4J" TargetMode="External"/><Relationship Id="rId36" Type="http://schemas.openxmlformats.org/officeDocument/2006/relationships/hyperlink" Target="consultantplus://offline/ref=F6C6A494084CE3F729DFF0C5023D1542111971BAFFD014E50FA369DE61F257F01F142EBFFB0A6243B4F3206A57C91896E8A6BA4EE7E9uAq4J" TargetMode="External"/><Relationship Id="rId10" Type="http://schemas.openxmlformats.org/officeDocument/2006/relationships/hyperlink" Target="consultantplus://offline/ref=F6C6A494084CE3F729DFEEC814514A4D16122DB5F6D21DB757FF6F893EA251A55F5428E8AD4E3345E3A37A3F5BD41B88EAuAq4J" TargetMode="External"/><Relationship Id="rId19" Type="http://schemas.openxmlformats.org/officeDocument/2006/relationships/hyperlink" Target="consultantplus://offline/ref=F6C6A494084CE3F729DFEEC814514A4D16122DB5F5D11DB150F66F893EA251A55F5428E8AD4E3345E3A37A3F5BD41B88EAuAq4J" TargetMode="External"/><Relationship Id="rId31" Type="http://schemas.openxmlformats.org/officeDocument/2006/relationships/hyperlink" Target="consultantplus://offline/ref=F6C6A494084CE3F729DFF0C5023D1542111B71BBF3D414E50FA369DE61F257F01F142EB9F4096D1CB1E6313259CB0788E9B9A64CE5uEq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C6A494084CE3F729DFEEC814514A4D16122DB5F5DA16B754FF6F893EA251A55F5428E8AD4E3345E3A37A3F5BD41B88EAuAq4J" TargetMode="External"/><Relationship Id="rId14" Type="http://schemas.openxmlformats.org/officeDocument/2006/relationships/hyperlink" Target="consultantplus://offline/ref=F6C6A494084CE3F729DFEEC814514A4D16122DB5F6D51BBB56FE6F893EA251A55F5428E8AD4E3345E3A37A3F5BD41B88EAuAq4J" TargetMode="External"/><Relationship Id="rId22" Type="http://schemas.openxmlformats.org/officeDocument/2006/relationships/hyperlink" Target="consultantplus://offline/ref=F6C6A494084CE3F729DFEEC814514A4D16122DB5F5D61CB150F66F893EA251A55F5428E8AD4E3345E3A37A3F5BD41B88EAuAq4J" TargetMode="External"/><Relationship Id="rId27" Type="http://schemas.openxmlformats.org/officeDocument/2006/relationships/hyperlink" Target="consultantplus://offline/ref=F6C6A494084CE3F729DFEEC814514A4D16122DB5F5D518B151FF6F893EA251A55F5428E8AD4E3345E3A37A3F5BD41B88EAuAq4J" TargetMode="External"/><Relationship Id="rId30" Type="http://schemas.openxmlformats.org/officeDocument/2006/relationships/hyperlink" Target="consultantplus://offline/ref=F6C6A494084CE3F729DFF0C5023D1542111B71BBF3D414E50FA369DE61F257F01F142EBDFF0E6D1CB1E6313259CB0788E9B9A64CE5uEq8J" TargetMode="External"/><Relationship Id="rId35" Type="http://schemas.openxmlformats.org/officeDocument/2006/relationships/hyperlink" Target="consultantplus://offline/ref=F6C6A494084CE3F729DFF0C5023D1542111971BAFFD014E50FA369DE61F257F01F142EBFFB086443B4F3206A57C91896E8A6BA4EE7E9uA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8231</Words>
  <Characters>46923</Characters>
  <Application>Microsoft Office Word</Application>
  <DocSecurity>0</DocSecurity>
  <Lines>391</Lines>
  <Paragraphs>110</Paragraphs>
  <ScaleCrop>false</ScaleCrop>
  <Company/>
  <LinksUpToDate>false</LinksUpToDate>
  <CharactersWithSpaces>55044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</dc:creator>
  <cp:lastModifiedBy>Прошкина</cp:lastModifiedBy>
  <cp:revision>1</cp:revision>
  <dcterms:created xsi:type="dcterms:W3CDTF">2023-01-31T09:42:00Z</dcterms:created>
  <dcterms:modified xsi:type="dcterms:W3CDTF">2023-01-31T09:43:00Z</dcterms:modified>
</cp:coreProperties>
</file>